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64DF1">
      <w:pPr>
        <w:pStyle w:val="19"/>
        <w:spacing w:before="0" w:after="0"/>
        <w:rPr>
          <w:rFonts w:hint="eastAsia" w:ascii="黑体" w:hAnsi="黑体" w:cs="黑体"/>
          <w:color w:val="auto"/>
        </w:rPr>
      </w:pPr>
      <w:r>
        <w:rPr>
          <w:rFonts w:hint="eastAsia" w:ascii="黑体" w:hAnsi="黑体" w:cs="黑体"/>
          <w:color w:val="auto"/>
        </w:rPr>
        <w:t>湖北楚安实业发展有限公司</w:t>
      </w:r>
      <w:r>
        <w:rPr>
          <w:rFonts w:hint="eastAsia" w:ascii="黑体" w:hAnsi="黑体" w:cs="黑体"/>
          <w:color w:val="auto"/>
        </w:rPr>
        <w:br w:type="textWrapping"/>
      </w:r>
      <w:r>
        <w:rPr>
          <w:rFonts w:hint="eastAsia" w:ascii="黑体" w:hAnsi="黑体" w:cs="黑体"/>
          <w:color w:val="auto"/>
        </w:rPr>
        <w:t>快递物流服务项目</w:t>
      </w:r>
      <w:r>
        <w:rPr>
          <w:rFonts w:hint="eastAsia" w:ascii="黑体" w:hAnsi="黑体" w:cs="黑体"/>
          <w:color w:val="auto"/>
          <w:lang w:val="en-US" w:eastAsia="zh-CN"/>
        </w:rPr>
        <w:t>竞争性</w:t>
      </w:r>
      <w:r>
        <w:rPr>
          <w:rFonts w:hint="eastAsia" w:ascii="黑体" w:hAnsi="黑体" w:cs="黑体"/>
          <w:color w:val="auto"/>
        </w:rPr>
        <w:t>磋商函</w:t>
      </w:r>
    </w:p>
    <w:p w14:paraId="71FD04CF">
      <w:pPr>
        <w:pStyle w:val="13"/>
        <w:spacing w:before="0" w:after="120" w:line="360" w:lineRule="auto"/>
        <w:ind w:firstLineChars="0"/>
        <w:rPr>
          <w:rFonts w:hint="eastAsia" w:ascii="仿宋" w:hAnsi="仿宋" w:eastAsia="仿宋" w:cs="仿宋"/>
          <w:color w:val="auto"/>
        </w:rPr>
      </w:pPr>
      <w:r>
        <w:rPr>
          <w:rFonts w:hint="eastAsia" w:ascii="仿宋" w:hAnsi="仿宋" w:eastAsia="仿宋" w:cs="仿宋"/>
          <w:color w:val="auto"/>
        </w:rPr>
        <w:t>__________________（以下简称供应商）:</w:t>
      </w:r>
    </w:p>
    <w:p w14:paraId="45778FF5">
      <w:pPr>
        <w:pStyle w:val="13"/>
        <w:ind w:firstLine="480"/>
        <w:rPr>
          <w:rFonts w:hint="eastAsia" w:ascii="仿宋" w:hAnsi="仿宋" w:eastAsia="仿宋" w:cs="仿宋"/>
          <w:color w:val="auto"/>
        </w:rPr>
      </w:pPr>
      <w:bookmarkStart w:id="0" w:name="OLE_LINK3"/>
      <w:r>
        <w:rPr>
          <w:rFonts w:hint="eastAsia" w:ascii="仿宋" w:hAnsi="仿宋" w:eastAsia="仿宋" w:cs="仿宋"/>
          <w:color w:val="auto"/>
        </w:rPr>
        <w:t>湖北楚安实业发展有限公司</w:t>
      </w:r>
      <w:bookmarkEnd w:id="0"/>
      <w:r>
        <w:rPr>
          <w:rFonts w:hint="eastAsia" w:ascii="仿宋" w:hAnsi="仿宋" w:eastAsia="仿宋" w:cs="仿宋"/>
          <w:color w:val="auto"/>
        </w:rPr>
        <w:t>（以下简称采购方）</w:t>
      </w:r>
      <w:bookmarkStart w:id="1" w:name="OLE_LINK1"/>
      <w:r>
        <w:rPr>
          <w:rFonts w:hint="eastAsia" w:ascii="仿宋" w:hAnsi="仿宋" w:eastAsia="仿宋" w:cs="仿宋"/>
          <w:color w:val="auto"/>
        </w:rPr>
        <w:t>快递物流</w:t>
      </w:r>
      <w:bookmarkEnd w:id="1"/>
      <w:r>
        <w:rPr>
          <w:rFonts w:hint="eastAsia" w:ascii="仿宋" w:hAnsi="仿宋" w:eastAsia="仿宋" w:cs="仿宋"/>
          <w:color w:val="auto"/>
        </w:rPr>
        <w:t>服务项目开展磋商采购工作，现邀请合格供应商参与。</w:t>
      </w:r>
    </w:p>
    <w:p w14:paraId="254491D7">
      <w:pPr>
        <w:numPr>
          <w:ilvl w:val="0"/>
          <w:numId w:val="1"/>
        </w:numPr>
        <w:adjustRightInd w:val="0"/>
        <w:spacing w:before="100" w:after="100" w:line="300" w:lineRule="auto"/>
        <w:ind w:firstLine="482" w:firstLineChars="200"/>
        <w:rPr>
          <w:rFonts w:hint="eastAsia" w:ascii="仿宋" w:hAnsi="仿宋" w:eastAsia="仿宋" w:cs="仿宋"/>
          <w:b/>
          <w:color w:val="auto"/>
          <w:kern w:val="2"/>
          <w:sz w:val="24"/>
          <w:szCs w:val="24"/>
        </w:rPr>
      </w:pPr>
      <w:r>
        <w:rPr>
          <w:rFonts w:hint="eastAsia" w:ascii="仿宋" w:hAnsi="仿宋" w:eastAsia="仿宋" w:cs="仿宋"/>
          <w:b/>
          <w:color w:val="auto"/>
          <w:kern w:val="2"/>
          <w:sz w:val="24"/>
          <w:szCs w:val="24"/>
        </w:rPr>
        <w:t>磋商须知</w:t>
      </w:r>
    </w:p>
    <w:p w14:paraId="2637A476">
      <w:pPr>
        <w:numPr>
          <w:ilvl w:val="0"/>
          <w:numId w:val="2"/>
        </w:numPr>
        <w:adjustRightInd w:val="0"/>
        <w:spacing w:before="100" w:after="100" w:line="300" w:lineRule="auto"/>
        <w:ind w:firstLine="482" w:firstLineChars="200"/>
        <w:rPr>
          <w:rFonts w:hint="eastAsia" w:ascii="仿宋" w:hAnsi="仿宋" w:eastAsia="仿宋" w:cs="仿宋"/>
          <w:b/>
          <w:color w:val="auto"/>
          <w:kern w:val="2"/>
          <w:sz w:val="24"/>
          <w:szCs w:val="24"/>
        </w:rPr>
      </w:pPr>
      <w:r>
        <w:rPr>
          <w:rFonts w:hint="eastAsia" w:ascii="仿宋" w:hAnsi="仿宋" w:eastAsia="仿宋" w:cs="仿宋"/>
          <w:b/>
          <w:color w:val="auto"/>
          <w:kern w:val="2"/>
          <w:sz w:val="24"/>
          <w:szCs w:val="24"/>
        </w:rPr>
        <w:t>采购项目概况</w:t>
      </w:r>
    </w:p>
    <w:p w14:paraId="216A2E92">
      <w:pPr>
        <w:numPr>
          <w:ilvl w:val="0"/>
          <w:numId w:val="0"/>
        </w:numPr>
        <w:adjustRightInd w:val="0"/>
        <w:spacing w:before="100" w:after="100" w:line="300" w:lineRule="auto"/>
        <w:ind w:left="0" w:leftChars="0" w:firstLine="480" w:firstLineChars="0"/>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lang w:val="en-US" w:eastAsia="zh-CN" w:bidi="ar-SA"/>
        </w:rPr>
        <w:t>（一）</w:t>
      </w:r>
      <w:r>
        <w:rPr>
          <w:rFonts w:hint="eastAsia" w:ascii="仿宋" w:hAnsi="仿宋" w:eastAsia="仿宋" w:cs="仿宋"/>
          <w:color w:val="auto"/>
          <w:kern w:val="2"/>
          <w:sz w:val="24"/>
          <w:szCs w:val="24"/>
        </w:rPr>
        <w:t>项目内容：由湖北楚安实业发展有限公司（以下简称“采购组织方”）受湖北鄂安标牌厂（以下简称“实际采购方”）委托，代为组织湖北鄂安标牌厂的半成品号牌、</w:t>
      </w:r>
      <w:r>
        <w:rPr>
          <w:rFonts w:hint="eastAsia" w:ascii="仿宋" w:hAnsi="仿宋" w:eastAsia="仿宋" w:cs="仿宋"/>
          <w:color w:val="auto"/>
          <w:kern w:val="2"/>
          <w:sz w:val="24"/>
          <w:szCs w:val="24"/>
        </w:rPr>
        <w:t>成品</w:t>
      </w:r>
      <w:r>
        <w:rPr>
          <w:rFonts w:hint="eastAsia" w:ascii="仿宋" w:hAnsi="仿宋" w:eastAsia="仿宋" w:cs="仿宋"/>
          <w:b w:val="0"/>
          <w:bCs w:val="0"/>
          <w:color w:val="auto"/>
          <w:kern w:val="2"/>
          <w:sz w:val="24"/>
          <w:szCs w:val="24"/>
        </w:rPr>
        <w:t>号牌、文件类、机器设备配件及固封的快递物流运输服务的采购活动。</w:t>
      </w:r>
    </w:p>
    <w:p w14:paraId="19E3D2ED">
      <w:pPr>
        <w:numPr>
          <w:ilvl w:val="0"/>
          <w:numId w:val="0"/>
        </w:numPr>
        <w:adjustRightInd w:val="0"/>
        <w:spacing w:before="100" w:after="100" w:line="300" w:lineRule="auto"/>
        <w:ind w:left="0" w:leftChars="0" w:firstLine="480" w:firstLineChars="0"/>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lang w:val="en-US" w:eastAsia="zh-CN" w:bidi="ar-SA"/>
        </w:rPr>
        <w:t>（二）</w:t>
      </w:r>
      <w:r>
        <w:rPr>
          <w:rFonts w:hint="eastAsia" w:ascii="仿宋" w:hAnsi="仿宋" w:eastAsia="仿宋" w:cs="仿宋"/>
          <w:b w:val="0"/>
          <w:bCs w:val="0"/>
          <w:color w:val="auto"/>
          <w:kern w:val="2"/>
          <w:sz w:val="24"/>
          <w:szCs w:val="24"/>
        </w:rPr>
        <w:t>本项目实际履约主体、结算主体及收货主体均为湖北鄂安标牌厂。成交供应商应与湖北鄂安标牌厂签订服务合同，并按合同约定向其提供服务和开具发票。本磋商文件及成交供应商的响应文件对采购组织方、实际采购方及成交供应商均具有同等约束力。</w:t>
      </w:r>
    </w:p>
    <w:p w14:paraId="6F48F1ED">
      <w:pPr>
        <w:numPr>
          <w:ilvl w:val="0"/>
          <w:numId w:val="0"/>
        </w:numPr>
        <w:adjustRightInd w:val="0"/>
        <w:spacing w:before="100" w:after="100" w:line="300" w:lineRule="auto"/>
        <w:ind w:left="0" w:leftChars="0" w:firstLine="480" w:firstLineChars="200"/>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lang w:val="en-US" w:eastAsia="zh-CN" w:bidi="ar-SA"/>
        </w:rPr>
        <w:t>（三）</w:t>
      </w:r>
      <w:r>
        <w:rPr>
          <w:rFonts w:hint="eastAsia" w:ascii="仿宋" w:hAnsi="仿宋" w:eastAsia="仿宋" w:cs="仿宋"/>
          <w:b w:val="0"/>
          <w:bCs w:val="0"/>
          <w:color w:val="auto"/>
          <w:kern w:val="2"/>
          <w:sz w:val="24"/>
          <w:szCs w:val="24"/>
        </w:rPr>
        <w:t>服务期限1年，按实际发货量月结据实结算，费用预估40万元。</w:t>
      </w:r>
    </w:p>
    <w:p w14:paraId="1DF101C1">
      <w:pPr>
        <w:numPr>
          <w:ilvl w:val="0"/>
          <w:numId w:val="0"/>
        </w:numPr>
        <w:adjustRightInd w:val="0"/>
        <w:spacing w:before="100" w:after="100" w:line="300" w:lineRule="auto"/>
        <w:ind w:left="0" w:leftChars="0" w:firstLine="480" w:firstLineChars="200"/>
        <w:rPr>
          <w:rFonts w:hint="eastAsia" w:ascii="仿宋" w:hAnsi="仿宋" w:eastAsia="仿宋" w:cs="仿宋"/>
          <w:color w:val="auto"/>
          <w:kern w:val="2"/>
          <w:sz w:val="24"/>
          <w:szCs w:val="24"/>
        </w:rPr>
      </w:pPr>
      <w:r>
        <w:rPr>
          <w:rFonts w:hint="eastAsia" w:ascii="仿宋" w:hAnsi="仿宋" w:eastAsia="仿宋" w:cs="仿宋"/>
          <w:b w:val="0"/>
          <w:bCs w:val="0"/>
          <w:color w:val="auto"/>
          <w:kern w:val="2"/>
          <w:sz w:val="24"/>
          <w:szCs w:val="24"/>
          <w:lang w:val="en-US" w:eastAsia="zh-CN" w:bidi="ar-SA"/>
        </w:rPr>
        <w:t>（四）</w:t>
      </w:r>
      <w:r>
        <w:rPr>
          <w:rFonts w:hint="eastAsia" w:ascii="仿宋" w:hAnsi="仿宋" w:eastAsia="仿宋" w:cs="仿宋"/>
          <w:b w:val="0"/>
          <w:bCs w:val="0"/>
          <w:color w:val="auto"/>
          <w:sz w:val="24"/>
          <w:szCs w:val="24"/>
        </w:rPr>
        <w:t>报价规则：固定公斤段</w:t>
      </w:r>
      <w:r>
        <w:rPr>
          <w:rFonts w:ascii="仿宋" w:hAnsi="仿宋" w:eastAsia="仿宋" w:cs="仿宋"/>
          <w:b w:val="0"/>
          <w:bCs w:val="0"/>
          <w:color w:val="auto"/>
          <w:sz w:val="24"/>
          <w:szCs w:val="24"/>
        </w:rPr>
        <w:t>进行报价</w:t>
      </w:r>
      <w:r>
        <w:rPr>
          <w:rFonts w:hint="eastAsia" w:ascii="仿宋" w:hAnsi="仿宋" w:eastAsia="仿宋" w:cs="仿宋"/>
          <w:b w:val="0"/>
          <w:bCs w:val="0"/>
          <w:color w:val="auto"/>
          <w:sz w:val="24"/>
          <w:szCs w:val="24"/>
        </w:rPr>
        <w:t>，</w:t>
      </w:r>
      <w:r>
        <w:rPr>
          <w:rFonts w:hint="eastAsia" w:ascii="仿宋" w:hAnsi="仿宋" w:eastAsia="仿宋" w:cs="仿宋"/>
          <w:b w:val="0"/>
          <w:bCs w:val="0"/>
          <w:color w:val="auto"/>
          <w:kern w:val="2"/>
          <w:sz w:val="24"/>
          <w:szCs w:val="24"/>
          <w:lang w:val="en-US" w:eastAsia="zh-CN"/>
        </w:rPr>
        <w:t>小于或等于1公斤</w:t>
      </w:r>
      <w:r>
        <w:rPr>
          <w:rFonts w:hint="eastAsia" w:ascii="仿宋" w:hAnsi="仿宋" w:eastAsia="仿宋" w:cs="仿宋"/>
          <w:b w:val="0"/>
          <w:bCs w:val="0"/>
          <w:color w:val="auto"/>
          <w:sz w:val="24"/>
          <w:szCs w:val="24"/>
        </w:rPr>
        <w:t>段</w:t>
      </w:r>
      <w:r>
        <w:rPr>
          <w:rFonts w:hint="eastAsia" w:ascii="仿宋" w:hAnsi="仿宋" w:eastAsia="仿宋" w:cs="仿宋"/>
          <w:b w:val="0"/>
          <w:bCs w:val="0"/>
          <w:color w:val="auto"/>
          <w:kern w:val="2"/>
          <w:sz w:val="24"/>
          <w:szCs w:val="24"/>
          <w:lang w:val="en-US" w:eastAsia="zh-CN"/>
        </w:rPr>
        <w:t>报价为A</w:t>
      </w:r>
      <w:r>
        <w:rPr>
          <w:rFonts w:hint="eastAsia" w:ascii="仿宋" w:hAnsi="仿宋" w:eastAsia="仿宋" w:cs="仿宋"/>
          <w:b w:val="0"/>
          <w:bCs w:val="0"/>
          <w:color w:val="auto"/>
          <w:kern w:val="2"/>
          <w:sz w:val="24"/>
          <w:szCs w:val="24"/>
        </w:rPr>
        <w:t>；</w:t>
      </w:r>
      <w:r>
        <w:rPr>
          <w:rFonts w:hint="eastAsia" w:ascii="仿宋" w:hAnsi="仿宋" w:eastAsia="仿宋" w:cs="仿宋"/>
          <w:b w:val="0"/>
          <w:bCs w:val="0"/>
          <w:color w:val="auto"/>
          <w:kern w:val="2"/>
          <w:sz w:val="24"/>
          <w:szCs w:val="24"/>
          <w:lang w:val="en-US" w:eastAsia="zh-CN"/>
        </w:rPr>
        <w:t>大于1公斤至小于或等于20公斤</w:t>
      </w:r>
      <w:r>
        <w:rPr>
          <w:rFonts w:hint="eastAsia" w:ascii="仿宋" w:hAnsi="仿宋" w:eastAsia="仿宋" w:cs="仿宋"/>
          <w:b w:val="0"/>
          <w:bCs w:val="0"/>
          <w:color w:val="auto"/>
          <w:sz w:val="24"/>
          <w:szCs w:val="24"/>
        </w:rPr>
        <w:t>段</w:t>
      </w:r>
      <w:r>
        <w:rPr>
          <w:rFonts w:hint="eastAsia" w:ascii="仿宋" w:hAnsi="仿宋" w:eastAsia="仿宋" w:cs="仿宋"/>
          <w:b w:val="0"/>
          <w:bCs w:val="0"/>
          <w:color w:val="auto"/>
          <w:sz w:val="24"/>
          <w:szCs w:val="24"/>
          <w:lang w:val="en-US" w:eastAsia="zh-CN"/>
        </w:rPr>
        <w:t>报价为B</w:t>
      </w:r>
      <w:r>
        <w:rPr>
          <w:rFonts w:hint="eastAsia" w:ascii="仿宋" w:hAnsi="仿宋" w:eastAsia="仿宋" w:cs="仿宋"/>
          <w:b w:val="0"/>
          <w:bCs w:val="0"/>
          <w:color w:val="auto"/>
          <w:kern w:val="2"/>
          <w:sz w:val="24"/>
          <w:szCs w:val="24"/>
        </w:rPr>
        <w:t>，</w:t>
      </w:r>
      <w:r>
        <w:rPr>
          <w:rFonts w:hint="eastAsia" w:ascii="仿宋" w:hAnsi="仿宋" w:eastAsia="仿宋" w:cs="仿宋"/>
          <w:b w:val="0"/>
          <w:bCs w:val="0"/>
          <w:color w:val="auto"/>
          <w:kern w:val="2"/>
          <w:sz w:val="24"/>
          <w:szCs w:val="24"/>
          <w:lang w:val="en-US" w:eastAsia="zh-CN"/>
        </w:rPr>
        <w:t>大于20公斤至30公斤</w:t>
      </w:r>
      <w:r>
        <w:rPr>
          <w:rFonts w:hint="eastAsia" w:ascii="仿宋" w:hAnsi="仿宋" w:eastAsia="仿宋" w:cs="仿宋"/>
          <w:b w:val="0"/>
          <w:bCs w:val="0"/>
          <w:color w:val="auto"/>
          <w:sz w:val="24"/>
          <w:szCs w:val="24"/>
        </w:rPr>
        <w:t>段</w:t>
      </w:r>
      <w:r>
        <w:rPr>
          <w:rFonts w:hint="eastAsia" w:ascii="仿宋" w:hAnsi="仿宋" w:eastAsia="仿宋" w:cs="仿宋"/>
          <w:b w:val="0"/>
          <w:bCs w:val="0"/>
          <w:color w:val="auto"/>
          <w:sz w:val="24"/>
          <w:szCs w:val="24"/>
          <w:lang w:val="en-US" w:eastAsia="zh-CN"/>
        </w:rPr>
        <w:t>报价为C;A、B、C的权重分别为3%,94%,3%，</w:t>
      </w:r>
      <w:r>
        <w:rPr>
          <w:rFonts w:hint="eastAsia" w:ascii="仿宋" w:hAnsi="仿宋" w:eastAsia="仿宋" w:cs="仿宋"/>
          <w:b w:val="0"/>
          <w:bCs w:val="0"/>
          <w:color w:val="auto"/>
          <w:kern w:val="2"/>
          <w:sz w:val="24"/>
          <w:szCs w:val="24"/>
        </w:rPr>
        <w:t>报价包含全部税费、配套服务及完成本合同项下全部义务的所有费用。</w:t>
      </w:r>
    </w:p>
    <w:tbl>
      <w:tblPr>
        <w:tblStyle w:val="27"/>
        <w:tblW w:w="5018" w:type="pct"/>
        <w:jc w:val="cente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autofit"/>
        <w:tblCellMar>
          <w:top w:w="0" w:type="dxa"/>
          <w:left w:w="0" w:type="dxa"/>
          <w:bottom w:w="0" w:type="dxa"/>
          <w:right w:w="0" w:type="dxa"/>
        </w:tblCellMar>
      </w:tblPr>
      <w:tblGrid>
        <w:gridCol w:w="536"/>
        <w:gridCol w:w="949"/>
        <w:gridCol w:w="1210"/>
        <w:gridCol w:w="1789"/>
        <w:gridCol w:w="1997"/>
        <w:gridCol w:w="536"/>
        <w:gridCol w:w="1789"/>
        <w:gridCol w:w="982"/>
      </w:tblGrid>
      <w:tr w14:paraId="48D66BD9">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12" w:hRule="atLeast"/>
          <w:tblHeader/>
          <w:jc w:val="center"/>
        </w:trPr>
        <w:tc>
          <w:tcPr>
            <w:tcW w:w="5000" w:type="pct"/>
            <w:gridSpan w:val="8"/>
            <w:vMerge w:val="restart"/>
            <w:tcBorders>
              <w:top w:val="single" w:color="000000" w:sz="6" w:space="0"/>
              <w:right w:val="single" w:color="808080" w:sz="4" w:space="0"/>
            </w:tcBorders>
            <w:vAlign w:val="center"/>
          </w:tcPr>
          <w:p w14:paraId="175008D8">
            <w:pPr>
              <w:keepNext w:val="0"/>
              <w:keepLines w:val="0"/>
              <w:widowControl/>
              <w:suppressLineNumbers w:val="0"/>
              <w:snapToGrid w:val="0"/>
              <w:jc w:val="center"/>
              <w:textAlignment w:val="center"/>
              <w:rPr>
                <w:rFonts w:hint="eastAsia" w:ascii="仿宋" w:hAnsi="仿宋" w:eastAsia="仿宋" w:cs="仿宋"/>
                <w:b/>
                <w:color w:val="auto"/>
                <w:sz w:val="24"/>
                <w:szCs w:val="24"/>
              </w:rPr>
            </w:pPr>
            <w:r>
              <w:rPr>
                <w:rFonts w:hint="eastAsia" w:ascii="仿宋" w:hAnsi="仿宋" w:eastAsia="仿宋" w:cs="仿宋"/>
                <w:b/>
                <w:bCs/>
                <w:i w:val="0"/>
                <w:iCs w:val="0"/>
                <w:color w:val="auto"/>
                <w:kern w:val="0"/>
                <w:sz w:val="24"/>
                <w:szCs w:val="24"/>
                <w:u w:val="none"/>
                <w:lang w:val="en-US" w:eastAsia="zh-CN" w:bidi="ar"/>
              </w:rPr>
              <w:t>供应商报价响应表</w:t>
            </w:r>
          </w:p>
        </w:tc>
      </w:tr>
      <w:tr w14:paraId="47A10D6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12" w:hRule="atLeast"/>
          <w:tblHeader/>
          <w:jc w:val="center"/>
        </w:trPr>
        <w:tc>
          <w:tcPr>
            <w:tcW w:w="5000" w:type="pct"/>
            <w:gridSpan w:val="8"/>
            <w:vMerge w:val="continue"/>
            <w:tcBorders>
              <w:right w:val="single" w:color="808080" w:sz="4" w:space="0"/>
            </w:tcBorders>
            <w:vAlign w:val="center"/>
          </w:tcPr>
          <w:p w14:paraId="3D919BEE">
            <w:pPr>
              <w:keepNext/>
              <w:snapToGrid w:val="0"/>
              <w:ind w:left="0" w:leftChars="0" w:right="0" w:rightChars="0" w:firstLine="0" w:firstLineChars="0"/>
              <w:jc w:val="center"/>
              <w:rPr>
                <w:rFonts w:hint="eastAsia" w:ascii="仿宋" w:hAnsi="仿宋" w:eastAsia="仿宋" w:cs="仿宋"/>
                <w:b/>
                <w:color w:val="auto"/>
                <w:sz w:val="24"/>
                <w:szCs w:val="24"/>
              </w:rPr>
            </w:pPr>
          </w:p>
        </w:tc>
      </w:tr>
      <w:tr w14:paraId="07E66059">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5000" w:type="pct"/>
            <w:gridSpan w:val="8"/>
            <w:tcBorders>
              <w:top w:val="single" w:color="000000" w:sz="6" w:space="0"/>
              <w:bottom w:val="single" w:color="000000" w:sz="6" w:space="0"/>
              <w:right w:val="single" w:color="808080" w:sz="4" w:space="0"/>
            </w:tcBorders>
            <w:vAlign w:val="center"/>
          </w:tcPr>
          <w:p w14:paraId="3066BF8D">
            <w:pPr>
              <w:keepNext w:val="0"/>
              <w:keepLines w:val="0"/>
              <w:widowControl/>
              <w:suppressLineNumbers w:val="0"/>
              <w:snapToGrid w:val="0"/>
              <w:jc w:val="center"/>
              <w:textAlignment w:val="center"/>
              <w:rPr>
                <w:rFonts w:hint="eastAsia" w:ascii="仿宋" w:hAnsi="仿宋" w:eastAsia="仿宋" w:cs="仿宋"/>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线路信息：武汉市（湖北鄂安标牌厂） → 湖北省</w:t>
            </w:r>
          </w:p>
        </w:tc>
      </w:tr>
      <w:tr w14:paraId="29EB5D03">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274" w:type="pct"/>
            <w:tcBorders>
              <w:top w:val="single" w:color="000000" w:sz="6" w:space="0"/>
              <w:bottom w:val="single" w:color="000000" w:sz="6" w:space="0"/>
              <w:right w:val="single" w:color="808080" w:sz="4" w:space="0"/>
            </w:tcBorders>
            <w:vAlign w:val="bottom"/>
          </w:tcPr>
          <w:p w14:paraId="6214A9B4">
            <w:pPr>
              <w:snapToGrid w:val="0"/>
              <w:rPr>
                <w:rFonts w:hint="eastAsia" w:ascii="仿宋" w:hAnsi="仿宋" w:eastAsia="仿宋" w:cs="仿宋"/>
                <w:color w:val="auto"/>
                <w:sz w:val="24"/>
                <w:szCs w:val="24"/>
                <w:lang w:val="en-US" w:eastAsia="zh-CN"/>
              </w:rPr>
            </w:pPr>
          </w:p>
        </w:tc>
        <w:tc>
          <w:tcPr>
            <w:tcW w:w="485" w:type="pct"/>
            <w:tcBorders>
              <w:top w:val="single" w:color="000000" w:sz="6" w:space="0"/>
              <w:bottom w:val="single" w:color="000000" w:sz="6" w:space="0"/>
              <w:right w:val="single" w:color="808080" w:sz="4" w:space="0"/>
            </w:tcBorders>
            <w:vAlign w:val="bottom"/>
          </w:tcPr>
          <w:p w14:paraId="71545469">
            <w:pPr>
              <w:snapToGrid w:val="0"/>
              <w:rPr>
                <w:rFonts w:hint="eastAsia" w:ascii="仿宋" w:hAnsi="仿宋" w:eastAsia="仿宋" w:cs="仿宋"/>
                <w:color w:val="auto"/>
                <w:sz w:val="24"/>
                <w:szCs w:val="24"/>
              </w:rPr>
            </w:pPr>
          </w:p>
        </w:tc>
        <w:tc>
          <w:tcPr>
            <w:tcW w:w="618" w:type="pct"/>
            <w:tcBorders>
              <w:top w:val="single" w:color="000000" w:sz="6" w:space="0"/>
              <w:bottom w:val="single" w:color="000000" w:sz="6" w:space="0"/>
              <w:right w:val="single" w:color="808080" w:sz="4" w:space="0"/>
            </w:tcBorders>
            <w:vAlign w:val="bottom"/>
          </w:tcPr>
          <w:p w14:paraId="09798DBD">
            <w:pPr>
              <w:snapToGrid w:val="0"/>
              <w:rPr>
                <w:rFonts w:hint="eastAsia" w:ascii="仿宋" w:hAnsi="仿宋" w:eastAsia="仿宋" w:cs="仿宋"/>
                <w:color w:val="auto"/>
                <w:sz w:val="24"/>
                <w:szCs w:val="24"/>
              </w:rPr>
            </w:pPr>
          </w:p>
        </w:tc>
        <w:tc>
          <w:tcPr>
            <w:tcW w:w="914" w:type="pct"/>
            <w:tcBorders>
              <w:top w:val="single" w:color="000000" w:sz="6" w:space="0"/>
              <w:bottom w:val="single" w:color="000000" w:sz="6" w:space="0"/>
              <w:right w:val="single" w:color="808080" w:sz="4" w:space="0"/>
            </w:tcBorders>
            <w:vAlign w:val="bottom"/>
          </w:tcPr>
          <w:p w14:paraId="70229C0D">
            <w:pPr>
              <w:snapToGrid w:val="0"/>
              <w:rPr>
                <w:rFonts w:hint="eastAsia" w:ascii="仿宋" w:hAnsi="仿宋" w:eastAsia="仿宋" w:cs="仿宋"/>
                <w:color w:val="auto"/>
                <w:sz w:val="24"/>
                <w:szCs w:val="24"/>
              </w:rPr>
            </w:pPr>
          </w:p>
        </w:tc>
        <w:tc>
          <w:tcPr>
            <w:tcW w:w="1020" w:type="pct"/>
            <w:tcBorders>
              <w:top w:val="single" w:color="000000" w:sz="6" w:space="0"/>
              <w:bottom w:val="single" w:color="000000" w:sz="6" w:space="0"/>
              <w:right w:val="single" w:color="808080" w:sz="4" w:space="0"/>
            </w:tcBorders>
            <w:vAlign w:val="bottom"/>
          </w:tcPr>
          <w:p w14:paraId="1CD5DABA">
            <w:pPr>
              <w:snapToGrid w:val="0"/>
              <w:rPr>
                <w:rFonts w:hint="eastAsia" w:ascii="仿宋" w:hAnsi="仿宋" w:eastAsia="仿宋" w:cs="仿宋"/>
                <w:color w:val="auto"/>
                <w:sz w:val="24"/>
                <w:szCs w:val="24"/>
              </w:rPr>
            </w:pPr>
          </w:p>
        </w:tc>
        <w:tc>
          <w:tcPr>
            <w:tcW w:w="274" w:type="pct"/>
            <w:tcBorders>
              <w:top w:val="single" w:color="000000" w:sz="6" w:space="0"/>
              <w:bottom w:val="single" w:color="000000" w:sz="6" w:space="0"/>
              <w:right w:val="single" w:color="808080" w:sz="4" w:space="0"/>
            </w:tcBorders>
            <w:vAlign w:val="bottom"/>
          </w:tcPr>
          <w:p w14:paraId="40C800AE">
            <w:pPr>
              <w:snapToGrid w:val="0"/>
              <w:rPr>
                <w:rFonts w:hint="eastAsia" w:ascii="仿宋" w:hAnsi="仿宋" w:eastAsia="仿宋" w:cs="仿宋"/>
                <w:color w:val="auto"/>
                <w:sz w:val="24"/>
                <w:szCs w:val="24"/>
              </w:rPr>
            </w:pPr>
          </w:p>
        </w:tc>
        <w:tc>
          <w:tcPr>
            <w:tcW w:w="914" w:type="pct"/>
            <w:tcBorders>
              <w:top w:val="single" w:color="000000" w:sz="6" w:space="0"/>
              <w:bottom w:val="single" w:color="000000" w:sz="6" w:space="0"/>
              <w:right w:val="single" w:color="808080" w:sz="4" w:space="0"/>
            </w:tcBorders>
            <w:vAlign w:val="bottom"/>
          </w:tcPr>
          <w:p w14:paraId="7772D2D9">
            <w:pPr>
              <w:snapToGrid w:val="0"/>
              <w:rPr>
                <w:rFonts w:hint="eastAsia" w:ascii="仿宋" w:hAnsi="仿宋" w:eastAsia="仿宋" w:cs="仿宋"/>
                <w:color w:val="auto"/>
                <w:sz w:val="24"/>
                <w:szCs w:val="24"/>
              </w:rPr>
            </w:pPr>
          </w:p>
        </w:tc>
        <w:tc>
          <w:tcPr>
            <w:tcW w:w="496" w:type="pct"/>
            <w:tcBorders>
              <w:top w:val="single" w:color="000000" w:sz="6" w:space="0"/>
              <w:bottom w:val="single" w:color="000000" w:sz="6" w:space="0"/>
              <w:right w:val="single" w:color="808080" w:sz="4" w:space="0"/>
            </w:tcBorders>
            <w:vAlign w:val="bottom"/>
          </w:tcPr>
          <w:p w14:paraId="33570671">
            <w:pPr>
              <w:snapToGrid w:val="0"/>
              <w:rPr>
                <w:rFonts w:hint="eastAsia" w:ascii="仿宋" w:hAnsi="仿宋" w:eastAsia="仿宋" w:cs="仿宋"/>
                <w:color w:val="auto"/>
                <w:sz w:val="24"/>
                <w:szCs w:val="24"/>
              </w:rPr>
            </w:pPr>
          </w:p>
        </w:tc>
      </w:tr>
      <w:tr w14:paraId="71E582F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274" w:type="pct"/>
            <w:tcBorders>
              <w:top w:val="single" w:color="000000" w:sz="6" w:space="0"/>
              <w:bottom w:val="single" w:color="000000" w:sz="6" w:space="0"/>
              <w:right w:val="single" w:color="808080" w:sz="4" w:space="0"/>
            </w:tcBorders>
            <w:vAlign w:val="center"/>
          </w:tcPr>
          <w:p w14:paraId="1BD04421">
            <w:pPr>
              <w:keepNext w:val="0"/>
              <w:keepLines w:val="0"/>
              <w:widowControl/>
              <w:suppressLineNumbers w:val="0"/>
              <w:snapToGrid w:val="0"/>
              <w:jc w:val="center"/>
              <w:textAlignment w:val="center"/>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i w:val="0"/>
                <w:iCs w:val="0"/>
                <w:color w:val="auto"/>
                <w:kern w:val="0"/>
                <w:sz w:val="24"/>
                <w:szCs w:val="24"/>
                <w:u w:val="none"/>
                <w:lang w:val="en-US" w:eastAsia="zh-CN" w:bidi="ar"/>
              </w:rPr>
              <w:t>序号</w:t>
            </w:r>
          </w:p>
        </w:tc>
        <w:tc>
          <w:tcPr>
            <w:tcW w:w="485" w:type="pct"/>
            <w:tcBorders>
              <w:top w:val="single" w:color="000000" w:sz="6" w:space="0"/>
              <w:bottom w:val="single" w:color="000000" w:sz="6" w:space="0"/>
              <w:right w:val="single" w:color="808080" w:sz="4" w:space="0"/>
            </w:tcBorders>
            <w:vAlign w:val="center"/>
          </w:tcPr>
          <w:p w14:paraId="2FCDDA85">
            <w:pPr>
              <w:keepNext w:val="0"/>
              <w:keepLines w:val="0"/>
              <w:widowControl/>
              <w:suppressLineNumbers w:val="0"/>
              <w:snapToGrid w:val="0"/>
              <w:jc w:val="center"/>
              <w:textAlignment w:val="center"/>
              <w:rPr>
                <w:rFonts w:hint="eastAsia" w:ascii="仿宋" w:hAnsi="仿宋" w:eastAsia="仿宋" w:cs="仿宋"/>
                <w:b w:val="0"/>
                <w:bCs w:val="0"/>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报价项目</w:t>
            </w:r>
          </w:p>
        </w:tc>
        <w:tc>
          <w:tcPr>
            <w:tcW w:w="618" w:type="pct"/>
            <w:tcBorders>
              <w:top w:val="single" w:color="000000" w:sz="6" w:space="0"/>
              <w:bottom w:val="single" w:color="000000" w:sz="6" w:space="0"/>
              <w:right w:val="single" w:color="808080" w:sz="4" w:space="0"/>
            </w:tcBorders>
            <w:vAlign w:val="center"/>
          </w:tcPr>
          <w:p w14:paraId="7CC6DEF7">
            <w:pPr>
              <w:keepNext w:val="0"/>
              <w:keepLines w:val="0"/>
              <w:widowControl/>
              <w:suppressLineNumbers w:val="0"/>
              <w:snapToGrid w:val="0"/>
              <w:jc w:val="center"/>
              <w:textAlignment w:val="center"/>
              <w:rPr>
                <w:rFonts w:hint="eastAsia" w:ascii="仿宋" w:hAnsi="仿宋" w:eastAsia="仿宋" w:cs="仿宋"/>
                <w:b w:val="0"/>
                <w:bCs w:val="0"/>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公斤段说明</w:t>
            </w:r>
          </w:p>
        </w:tc>
        <w:tc>
          <w:tcPr>
            <w:tcW w:w="914" w:type="pct"/>
            <w:tcBorders>
              <w:top w:val="single" w:color="000000" w:sz="6" w:space="0"/>
              <w:bottom w:val="single" w:color="000000" w:sz="6" w:space="0"/>
              <w:right w:val="single" w:color="808080" w:sz="4" w:space="0"/>
            </w:tcBorders>
            <w:vAlign w:val="center"/>
          </w:tcPr>
          <w:p w14:paraId="0A2C3EA4">
            <w:pPr>
              <w:keepNext w:val="0"/>
              <w:keepLines w:val="0"/>
              <w:widowControl/>
              <w:suppressLineNumbers w:val="0"/>
              <w:snapToGrid w:val="0"/>
              <w:jc w:val="center"/>
              <w:textAlignment w:val="center"/>
              <w:rPr>
                <w:rFonts w:hint="eastAsia" w:ascii="仿宋" w:hAnsi="仿宋" w:eastAsia="仿宋" w:cs="仿宋"/>
                <w:b w:val="0"/>
                <w:bCs w:val="0"/>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最高限价（元）</w:t>
            </w:r>
          </w:p>
        </w:tc>
        <w:tc>
          <w:tcPr>
            <w:tcW w:w="1020" w:type="pct"/>
            <w:tcBorders>
              <w:top w:val="single" w:color="000000" w:sz="6" w:space="0"/>
              <w:bottom w:val="single" w:color="000000" w:sz="6" w:space="0"/>
              <w:right w:val="single" w:color="808080" w:sz="4" w:space="0"/>
            </w:tcBorders>
            <w:vAlign w:val="center"/>
          </w:tcPr>
          <w:p w14:paraId="79FE7AC8">
            <w:pPr>
              <w:keepNext w:val="0"/>
              <w:keepLines w:val="0"/>
              <w:widowControl/>
              <w:suppressLineNumbers w:val="0"/>
              <w:snapToGrid w:val="0"/>
              <w:jc w:val="center"/>
              <w:textAlignment w:val="center"/>
              <w:rPr>
                <w:rFonts w:hint="eastAsia" w:ascii="仿宋" w:hAnsi="仿宋" w:eastAsia="仿宋" w:cs="仿宋"/>
                <w:b w:val="0"/>
                <w:bCs w:val="0"/>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供应商报价（元）</w:t>
            </w:r>
          </w:p>
        </w:tc>
        <w:tc>
          <w:tcPr>
            <w:tcW w:w="274" w:type="pct"/>
            <w:tcBorders>
              <w:top w:val="single" w:color="000000" w:sz="6" w:space="0"/>
              <w:bottom w:val="single" w:color="000000" w:sz="6" w:space="0"/>
              <w:right w:val="single" w:color="808080" w:sz="4" w:space="0"/>
            </w:tcBorders>
            <w:vAlign w:val="center"/>
          </w:tcPr>
          <w:p w14:paraId="088C09E5">
            <w:pPr>
              <w:keepNext w:val="0"/>
              <w:keepLines w:val="0"/>
              <w:widowControl/>
              <w:suppressLineNumbers w:val="0"/>
              <w:snapToGrid w:val="0"/>
              <w:jc w:val="center"/>
              <w:textAlignment w:val="center"/>
              <w:rPr>
                <w:rFonts w:hint="eastAsia" w:ascii="仿宋" w:hAnsi="仿宋" w:eastAsia="仿宋" w:cs="仿宋"/>
                <w:b w:val="0"/>
                <w:bCs w:val="0"/>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权重</w:t>
            </w:r>
          </w:p>
        </w:tc>
        <w:tc>
          <w:tcPr>
            <w:tcW w:w="914" w:type="pct"/>
            <w:tcBorders>
              <w:top w:val="single" w:color="000000" w:sz="6" w:space="0"/>
              <w:bottom w:val="single" w:color="000000" w:sz="6" w:space="0"/>
              <w:right w:val="single" w:color="808080" w:sz="4" w:space="0"/>
            </w:tcBorders>
            <w:vAlign w:val="center"/>
          </w:tcPr>
          <w:p w14:paraId="1F6518BA">
            <w:pPr>
              <w:keepNext w:val="0"/>
              <w:keepLines w:val="0"/>
              <w:widowControl/>
              <w:suppressLineNumbers w:val="0"/>
              <w:snapToGrid w:val="0"/>
              <w:jc w:val="center"/>
              <w:textAlignment w:val="center"/>
              <w:rPr>
                <w:rFonts w:hint="eastAsia" w:ascii="仿宋" w:hAnsi="仿宋" w:eastAsia="仿宋" w:cs="仿宋"/>
                <w:b w:val="0"/>
                <w:bCs w:val="0"/>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加权报价（元）</w:t>
            </w:r>
          </w:p>
        </w:tc>
        <w:tc>
          <w:tcPr>
            <w:tcW w:w="496" w:type="pct"/>
            <w:tcBorders>
              <w:top w:val="single" w:color="000000" w:sz="6" w:space="0"/>
              <w:bottom w:val="single" w:color="000000" w:sz="6" w:space="0"/>
              <w:right w:val="single" w:color="808080" w:sz="4" w:space="0"/>
            </w:tcBorders>
            <w:vAlign w:val="center"/>
          </w:tcPr>
          <w:p w14:paraId="5D000BD8">
            <w:pPr>
              <w:keepNext w:val="0"/>
              <w:keepLines w:val="0"/>
              <w:widowControl/>
              <w:suppressLineNumbers w:val="0"/>
              <w:snapToGrid w:val="0"/>
              <w:jc w:val="center"/>
              <w:textAlignment w:val="center"/>
              <w:rPr>
                <w:rFonts w:hint="eastAsia" w:ascii="仿宋" w:hAnsi="仿宋" w:eastAsia="仿宋" w:cs="仿宋"/>
                <w:b w:val="0"/>
                <w:bCs w:val="0"/>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备注</w:t>
            </w:r>
          </w:p>
        </w:tc>
      </w:tr>
      <w:tr w14:paraId="224031E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274" w:type="pct"/>
            <w:tcBorders>
              <w:top w:val="single" w:color="000000" w:sz="6" w:space="0"/>
              <w:bottom w:val="single" w:color="000000" w:sz="6" w:space="0"/>
              <w:right w:val="single" w:color="808080" w:sz="4" w:space="0"/>
            </w:tcBorders>
            <w:vAlign w:val="center"/>
          </w:tcPr>
          <w:p w14:paraId="017A7DF0">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w:t>
            </w:r>
          </w:p>
        </w:tc>
        <w:tc>
          <w:tcPr>
            <w:tcW w:w="485" w:type="pct"/>
            <w:tcBorders>
              <w:top w:val="single" w:color="000000" w:sz="6" w:space="0"/>
              <w:bottom w:val="single" w:color="000000" w:sz="6" w:space="0"/>
              <w:right w:val="single" w:color="808080" w:sz="4" w:space="0"/>
            </w:tcBorders>
            <w:vAlign w:val="center"/>
          </w:tcPr>
          <w:p w14:paraId="476F6BFA">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报价A</w:t>
            </w:r>
          </w:p>
        </w:tc>
        <w:tc>
          <w:tcPr>
            <w:tcW w:w="618" w:type="pct"/>
            <w:tcBorders>
              <w:top w:val="single" w:color="000000" w:sz="6" w:space="0"/>
              <w:bottom w:val="single" w:color="000000" w:sz="6" w:space="0"/>
              <w:right w:val="single" w:color="808080" w:sz="4" w:space="0"/>
            </w:tcBorders>
            <w:vAlign w:val="center"/>
          </w:tcPr>
          <w:p w14:paraId="3C72EFD3">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≤1公斤</w:t>
            </w:r>
          </w:p>
        </w:tc>
        <w:tc>
          <w:tcPr>
            <w:tcW w:w="914" w:type="pct"/>
            <w:tcBorders>
              <w:top w:val="single" w:color="000000" w:sz="6" w:space="0"/>
              <w:bottom w:val="single" w:color="000000" w:sz="6" w:space="0"/>
              <w:right w:val="single" w:color="808080" w:sz="4" w:space="0"/>
            </w:tcBorders>
            <w:vAlign w:val="center"/>
          </w:tcPr>
          <w:p w14:paraId="08467DD7">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8.4</w:t>
            </w:r>
          </w:p>
        </w:tc>
        <w:tc>
          <w:tcPr>
            <w:tcW w:w="1020" w:type="pct"/>
            <w:tcBorders>
              <w:top w:val="single" w:color="000000" w:sz="6" w:space="0"/>
              <w:bottom w:val="single" w:color="000000" w:sz="6" w:space="0"/>
              <w:right w:val="single" w:color="808080" w:sz="4" w:space="0"/>
            </w:tcBorders>
            <w:vAlign w:val="center"/>
          </w:tcPr>
          <w:p w14:paraId="4253A9AF">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74" w:type="pct"/>
            <w:tcBorders>
              <w:top w:val="single" w:color="000000" w:sz="6" w:space="0"/>
              <w:bottom w:val="single" w:color="000000" w:sz="6" w:space="0"/>
              <w:right w:val="single" w:color="808080" w:sz="4" w:space="0"/>
            </w:tcBorders>
            <w:vAlign w:val="center"/>
          </w:tcPr>
          <w:p w14:paraId="1454942F">
            <w:pPr>
              <w:keepNext w:val="0"/>
              <w:keepLines w:val="0"/>
              <w:widowControl/>
              <w:suppressLineNumbers w:val="0"/>
              <w:snapToGrid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3%</w:t>
            </w:r>
          </w:p>
        </w:tc>
        <w:tc>
          <w:tcPr>
            <w:tcW w:w="914" w:type="pct"/>
            <w:tcBorders>
              <w:top w:val="single" w:color="000000" w:sz="6" w:space="0"/>
              <w:bottom w:val="single" w:color="000000" w:sz="6" w:space="0"/>
              <w:right w:val="single" w:color="808080" w:sz="4" w:space="0"/>
            </w:tcBorders>
            <w:vAlign w:val="center"/>
          </w:tcPr>
          <w:p w14:paraId="0CF08A05">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496" w:type="pct"/>
            <w:tcBorders>
              <w:top w:val="single" w:color="000000" w:sz="6" w:space="0"/>
              <w:bottom w:val="single" w:color="000000" w:sz="6" w:space="0"/>
              <w:right w:val="single" w:color="808080" w:sz="4" w:space="0"/>
            </w:tcBorders>
            <w:shd w:val="clear" w:color="auto" w:fill="auto"/>
            <w:vAlign w:val="center"/>
          </w:tcPr>
          <w:p w14:paraId="60283A20">
            <w:pPr>
              <w:keepNext w:val="0"/>
              <w:keepLines w:val="0"/>
              <w:widowControl/>
              <w:suppressLineNumbers w:val="0"/>
              <w:snapToGrid w:val="0"/>
              <w:jc w:val="center"/>
              <w:textAlignment w:val="center"/>
              <w:rPr>
                <w:rFonts w:hint="eastAsia" w:ascii="仿宋" w:hAnsi="仿宋" w:eastAsia="仿宋" w:cs="仿宋"/>
                <w:b w:val="0"/>
                <w:bCs w:val="0"/>
                <w:i w:val="0"/>
                <w:iCs w:val="0"/>
                <w:color w:val="auto"/>
                <w:sz w:val="24"/>
                <w:szCs w:val="24"/>
                <w:u w:val="none"/>
                <w:lang w:val="en-US" w:eastAsia="zh-CN" w:bidi="ar-SA"/>
              </w:rPr>
            </w:pPr>
          </w:p>
        </w:tc>
      </w:tr>
      <w:tr w14:paraId="54311B4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274" w:type="pct"/>
            <w:tcBorders>
              <w:top w:val="single" w:color="000000" w:sz="6" w:space="0"/>
              <w:bottom w:val="single" w:color="000000" w:sz="6" w:space="0"/>
              <w:right w:val="single" w:color="808080" w:sz="4" w:space="0"/>
            </w:tcBorders>
            <w:vAlign w:val="center"/>
          </w:tcPr>
          <w:p w14:paraId="7BEE267E">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2</w:t>
            </w:r>
          </w:p>
        </w:tc>
        <w:tc>
          <w:tcPr>
            <w:tcW w:w="485" w:type="pct"/>
            <w:tcBorders>
              <w:top w:val="single" w:color="000000" w:sz="6" w:space="0"/>
              <w:bottom w:val="single" w:color="000000" w:sz="6" w:space="0"/>
              <w:right w:val="single" w:color="808080" w:sz="4" w:space="0"/>
            </w:tcBorders>
            <w:vAlign w:val="center"/>
          </w:tcPr>
          <w:p w14:paraId="2C9CBFD5">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报价B</w:t>
            </w:r>
          </w:p>
        </w:tc>
        <w:tc>
          <w:tcPr>
            <w:tcW w:w="618" w:type="pct"/>
            <w:tcBorders>
              <w:top w:val="single" w:color="000000" w:sz="6" w:space="0"/>
              <w:bottom w:val="single" w:color="000000" w:sz="6" w:space="0"/>
              <w:right w:val="single" w:color="808080" w:sz="4" w:space="0"/>
            </w:tcBorders>
            <w:vAlign w:val="center"/>
          </w:tcPr>
          <w:p w14:paraId="1B1824F9">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1-20公斤</w:t>
            </w:r>
          </w:p>
        </w:tc>
        <w:tc>
          <w:tcPr>
            <w:tcW w:w="914" w:type="pct"/>
            <w:tcBorders>
              <w:top w:val="single" w:color="000000" w:sz="6" w:space="0"/>
              <w:bottom w:val="single" w:color="000000" w:sz="6" w:space="0"/>
              <w:right w:val="single" w:color="808080" w:sz="4" w:space="0"/>
            </w:tcBorders>
            <w:vAlign w:val="center"/>
          </w:tcPr>
          <w:p w14:paraId="799CEEE2">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15.00</w:t>
            </w:r>
          </w:p>
        </w:tc>
        <w:tc>
          <w:tcPr>
            <w:tcW w:w="1020" w:type="pct"/>
            <w:tcBorders>
              <w:top w:val="single" w:color="000000" w:sz="6" w:space="0"/>
              <w:bottom w:val="single" w:color="000000" w:sz="6" w:space="0"/>
              <w:right w:val="single" w:color="808080" w:sz="4" w:space="0"/>
            </w:tcBorders>
            <w:vAlign w:val="center"/>
          </w:tcPr>
          <w:p w14:paraId="1A772193">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74" w:type="pct"/>
            <w:tcBorders>
              <w:top w:val="single" w:color="000000" w:sz="6" w:space="0"/>
              <w:bottom w:val="single" w:color="000000" w:sz="6" w:space="0"/>
              <w:right w:val="single" w:color="808080" w:sz="4" w:space="0"/>
            </w:tcBorders>
            <w:vAlign w:val="center"/>
          </w:tcPr>
          <w:p w14:paraId="78901A11">
            <w:pPr>
              <w:keepNext w:val="0"/>
              <w:keepLines w:val="0"/>
              <w:widowControl/>
              <w:suppressLineNumbers w:val="0"/>
              <w:snapToGrid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94%</w:t>
            </w:r>
          </w:p>
        </w:tc>
        <w:tc>
          <w:tcPr>
            <w:tcW w:w="914" w:type="pct"/>
            <w:tcBorders>
              <w:top w:val="single" w:color="000000" w:sz="6" w:space="0"/>
              <w:bottom w:val="single" w:color="000000" w:sz="6" w:space="0"/>
              <w:right w:val="single" w:color="808080" w:sz="4" w:space="0"/>
            </w:tcBorders>
            <w:vAlign w:val="center"/>
          </w:tcPr>
          <w:p w14:paraId="3D2ABA8E">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496" w:type="pct"/>
            <w:tcBorders>
              <w:top w:val="single" w:color="000000" w:sz="6" w:space="0"/>
              <w:bottom w:val="single" w:color="000000" w:sz="6" w:space="0"/>
              <w:right w:val="single" w:color="808080" w:sz="4" w:space="0"/>
            </w:tcBorders>
            <w:shd w:val="clear" w:color="auto" w:fill="auto"/>
            <w:vAlign w:val="center"/>
          </w:tcPr>
          <w:p w14:paraId="7CCC1B7D">
            <w:pPr>
              <w:keepNext w:val="0"/>
              <w:keepLines w:val="0"/>
              <w:widowControl/>
              <w:suppressLineNumbers w:val="0"/>
              <w:snapToGrid w:val="0"/>
              <w:jc w:val="center"/>
              <w:textAlignment w:val="center"/>
              <w:rPr>
                <w:rFonts w:hint="eastAsia" w:ascii="仿宋" w:hAnsi="仿宋" w:eastAsia="仿宋" w:cs="仿宋"/>
                <w:b w:val="0"/>
                <w:bCs w:val="0"/>
                <w:i w:val="0"/>
                <w:iCs w:val="0"/>
                <w:color w:val="auto"/>
                <w:sz w:val="24"/>
                <w:szCs w:val="24"/>
                <w:u w:val="none"/>
                <w:lang w:val="en-US" w:eastAsia="zh-CN" w:bidi="ar-SA"/>
              </w:rPr>
            </w:pPr>
          </w:p>
        </w:tc>
      </w:tr>
      <w:tr w14:paraId="32B4B61D">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274" w:type="pct"/>
            <w:tcBorders>
              <w:top w:val="single" w:color="000000" w:sz="6" w:space="0"/>
              <w:bottom w:val="single" w:color="000000" w:sz="6" w:space="0"/>
              <w:right w:val="single" w:color="808080" w:sz="4" w:space="0"/>
            </w:tcBorders>
            <w:vAlign w:val="center"/>
          </w:tcPr>
          <w:p w14:paraId="451EA824">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3</w:t>
            </w:r>
          </w:p>
        </w:tc>
        <w:tc>
          <w:tcPr>
            <w:tcW w:w="485" w:type="pct"/>
            <w:tcBorders>
              <w:top w:val="single" w:color="000000" w:sz="6" w:space="0"/>
              <w:bottom w:val="single" w:color="000000" w:sz="6" w:space="0"/>
              <w:right w:val="single" w:color="808080" w:sz="4" w:space="0"/>
            </w:tcBorders>
            <w:vAlign w:val="center"/>
          </w:tcPr>
          <w:p w14:paraId="7C685046">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报价C</w:t>
            </w:r>
          </w:p>
        </w:tc>
        <w:tc>
          <w:tcPr>
            <w:tcW w:w="618" w:type="pct"/>
            <w:tcBorders>
              <w:top w:val="single" w:color="000000" w:sz="6" w:space="0"/>
              <w:bottom w:val="single" w:color="000000" w:sz="6" w:space="0"/>
              <w:right w:val="single" w:color="808080" w:sz="4" w:space="0"/>
            </w:tcBorders>
            <w:vAlign w:val="center"/>
          </w:tcPr>
          <w:p w14:paraId="2D5F6A7F">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20-30公斤</w:t>
            </w:r>
          </w:p>
        </w:tc>
        <w:tc>
          <w:tcPr>
            <w:tcW w:w="914" w:type="pct"/>
            <w:tcBorders>
              <w:top w:val="single" w:color="000000" w:sz="6" w:space="0"/>
              <w:bottom w:val="single" w:color="000000" w:sz="6" w:space="0"/>
              <w:right w:val="single" w:color="808080" w:sz="4" w:space="0"/>
            </w:tcBorders>
            <w:vAlign w:val="center"/>
          </w:tcPr>
          <w:p w14:paraId="5E9E85E6">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25.00</w:t>
            </w:r>
          </w:p>
        </w:tc>
        <w:tc>
          <w:tcPr>
            <w:tcW w:w="1020" w:type="pct"/>
            <w:tcBorders>
              <w:top w:val="single" w:color="000000" w:sz="6" w:space="0"/>
              <w:bottom w:val="single" w:color="000000" w:sz="6" w:space="0"/>
              <w:right w:val="single" w:color="808080" w:sz="4" w:space="0"/>
            </w:tcBorders>
            <w:vAlign w:val="center"/>
          </w:tcPr>
          <w:p w14:paraId="1B19E66C">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74" w:type="pct"/>
            <w:tcBorders>
              <w:top w:val="single" w:color="000000" w:sz="6" w:space="0"/>
              <w:bottom w:val="single" w:color="000000" w:sz="6" w:space="0"/>
              <w:right w:val="single" w:color="808080" w:sz="4" w:space="0"/>
            </w:tcBorders>
            <w:vAlign w:val="center"/>
          </w:tcPr>
          <w:p w14:paraId="77722024">
            <w:pPr>
              <w:keepNext w:val="0"/>
              <w:keepLines w:val="0"/>
              <w:widowControl/>
              <w:suppressLineNumbers w:val="0"/>
              <w:snapToGrid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3%</w:t>
            </w:r>
          </w:p>
        </w:tc>
        <w:tc>
          <w:tcPr>
            <w:tcW w:w="914" w:type="pct"/>
            <w:tcBorders>
              <w:top w:val="single" w:color="000000" w:sz="6" w:space="0"/>
              <w:bottom w:val="single" w:color="000000" w:sz="6" w:space="0"/>
              <w:right w:val="single" w:color="808080" w:sz="4" w:space="0"/>
            </w:tcBorders>
            <w:vAlign w:val="center"/>
          </w:tcPr>
          <w:p w14:paraId="5153EBC8">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496" w:type="pct"/>
            <w:tcBorders>
              <w:top w:val="single" w:color="000000" w:sz="6" w:space="0"/>
              <w:bottom w:val="single" w:color="000000" w:sz="6" w:space="0"/>
              <w:right w:val="single" w:color="808080" w:sz="4" w:space="0"/>
            </w:tcBorders>
            <w:shd w:val="clear" w:color="auto" w:fill="auto"/>
            <w:vAlign w:val="center"/>
          </w:tcPr>
          <w:p w14:paraId="29E7352C">
            <w:pPr>
              <w:keepNext w:val="0"/>
              <w:keepLines w:val="0"/>
              <w:widowControl/>
              <w:suppressLineNumbers w:val="0"/>
              <w:snapToGrid w:val="0"/>
              <w:jc w:val="center"/>
              <w:textAlignment w:val="center"/>
              <w:rPr>
                <w:rFonts w:hint="eastAsia" w:ascii="仿宋" w:hAnsi="仿宋" w:eastAsia="仿宋" w:cs="仿宋"/>
                <w:b w:val="0"/>
                <w:bCs w:val="0"/>
                <w:i w:val="0"/>
                <w:iCs w:val="0"/>
                <w:color w:val="auto"/>
                <w:sz w:val="24"/>
                <w:szCs w:val="24"/>
                <w:u w:val="none"/>
                <w:lang w:val="en-US" w:eastAsia="zh-CN" w:bidi="ar-SA"/>
              </w:rPr>
            </w:pPr>
          </w:p>
        </w:tc>
      </w:tr>
      <w:tr w14:paraId="2D8337FB">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5000" w:type="pct"/>
            <w:gridSpan w:val="8"/>
            <w:tcBorders>
              <w:top w:val="single" w:color="000000" w:sz="6" w:space="0"/>
              <w:bottom w:val="single" w:color="000000" w:sz="6" w:space="0"/>
              <w:right w:val="single" w:color="808080" w:sz="4" w:space="0"/>
            </w:tcBorders>
            <w:vAlign w:val="center"/>
          </w:tcPr>
          <w:p w14:paraId="3A1846AD">
            <w:pPr>
              <w:keepNext w:val="0"/>
              <w:keepLines w:val="0"/>
              <w:widowControl/>
              <w:suppressLineNumbers w:val="0"/>
              <w:snapToGrid w:val="0"/>
              <w:jc w:val="both"/>
              <w:textAlignment w:val="center"/>
              <w:rPr>
                <w:rFonts w:hint="eastAsia" w:ascii="仿宋" w:hAnsi="仿宋" w:eastAsia="仿宋" w:cs="仿宋"/>
                <w:i w:val="0"/>
                <w:iCs w:val="0"/>
                <w:color w:val="auto"/>
                <w:kern w:val="0"/>
                <w:sz w:val="24"/>
                <w:szCs w:val="24"/>
                <w:u w:val="none"/>
                <w:lang w:val="en-US" w:eastAsia="zh-CN" w:bidi="ar"/>
              </w:rPr>
            </w:pPr>
            <w:bookmarkStart w:id="49" w:name="_GoBack"/>
            <w:r>
              <w:rPr>
                <w:rFonts w:hint="eastAsia" w:ascii="仿宋" w:hAnsi="仿宋" w:eastAsia="仿宋" w:cs="仿宋"/>
                <w:i w:val="0"/>
                <w:iCs w:val="0"/>
                <w:color w:val="auto"/>
                <w:kern w:val="0"/>
                <w:sz w:val="24"/>
                <w:szCs w:val="24"/>
                <w:u w:val="none"/>
                <w:lang w:val="en-US" w:eastAsia="zh-CN" w:bidi="ar"/>
              </w:rPr>
              <w:t>综合报价（元):</w:t>
            </w:r>
          </w:p>
        </w:tc>
      </w:tr>
      <w:bookmarkEnd w:id="49"/>
      <w:tr w14:paraId="3B0F2CFA">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5000" w:type="pct"/>
            <w:gridSpan w:val="8"/>
            <w:tcBorders>
              <w:top w:val="single" w:color="000000" w:sz="6" w:space="0"/>
              <w:right w:val="single" w:color="808080" w:sz="4" w:space="0"/>
            </w:tcBorders>
            <w:vAlign w:val="center"/>
          </w:tcPr>
          <w:p w14:paraId="6BBD1C33">
            <w:pPr>
              <w:keepNext w:val="0"/>
              <w:keepLines w:val="0"/>
              <w:widowControl/>
              <w:numPr>
                <w:ilvl w:val="0"/>
                <w:numId w:val="0"/>
              </w:numPr>
              <w:suppressLineNumbers w:val="0"/>
              <w:snapToGrid w:val="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【报价说明】：1.报价包含全部税费、配套服务及完成本合同项下全部义务的所有费用。2.供应商综合报价计算公式：A×3% + B×94% + C×3%;所有报价</w:t>
            </w:r>
            <w:r>
              <w:rPr>
                <w:rFonts w:hint="eastAsia" w:ascii="方正仿宋_GB2312" w:hAnsi="方正仿宋_GB2312" w:eastAsia="方正仿宋_GB2312" w:cs="方正仿宋_GB2312"/>
                <w:color w:val="auto"/>
                <w:kern w:val="0"/>
                <w:sz w:val="24"/>
                <w:szCs w:val="24"/>
              </w:rPr>
              <w:t>均按四舍五入方法精确到小数点后二位。</w:t>
            </w:r>
            <w:r>
              <w:rPr>
                <w:rFonts w:hint="eastAsia" w:ascii="仿宋" w:hAnsi="仿宋" w:eastAsia="仿宋" w:cs="仿宋"/>
                <w:i w:val="0"/>
                <w:iCs w:val="0"/>
                <w:color w:val="auto"/>
                <w:kern w:val="0"/>
                <w:sz w:val="24"/>
                <w:szCs w:val="24"/>
                <w:u w:val="none"/>
                <w:lang w:val="en-US" w:eastAsia="zh-CN" w:bidi="ar"/>
              </w:rPr>
              <w:t>3.供应商的单项报价不能超过每项限价，且综合报价不得超过加权综合报价（15.10元），否则视为无效报价。</w:t>
            </w:r>
          </w:p>
        </w:tc>
      </w:tr>
    </w:tbl>
    <w:p w14:paraId="1E7E9F40">
      <w:pPr>
        <w:numPr>
          <w:ilvl w:val="0"/>
          <w:numId w:val="2"/>
        </w:numPr>
        <w:adjustRightInd w:val="0"/>
        <w:spacing w:before="100" w:after="100" w:line="300" w:lineRule="auto"/>
        <w:ind w:firstLine="482" w:firstLineChars="200"/>
        <w:rPr>
          <w:rFonts w:hint="eastAsia" w:ascii="仿宋" w:hAnsi="仿宋" w:eastAsia="仿宋" w:cs="仿宋"/>
          <w:b/>
          <w:color w:val="auto"/>
          <w:kern w:val="2"/>
          <w:sz w:val="24"/>
          <w:szCs w:val="24"/>
        </w:rPr>
      </w:pPr>
      <w:r>
        <w:rPr>
          <w:rFonts w:hint="eastAsia" w:ascii="仿宋" w:hAnsi="仿宋" w:eastAsia="仿宋" w:cs="仿宋"/>
          <w:b/>
          <w:color w:val="auto"/>
          <w:kern w:val="2"/>
          <w:sz w:val="24"/>
          <w:szCs w:val="24"/>
        </w:rPr>
        <w:t>采购要求</w:t>
      </w:r>
    </w:p>
    <w:p w14:paraId="313E6220">
      <w:pPr>
        <w:numPr>
          <w:ilvl w:val="0"/>
          <w:numId w:val="0"/>
        </w:numPr>
        <w:adjustRightInd w:val="0"/>
        <w:spacing w:before="100" w:after="100" w:line="300" w:lineRule="auto"/>
        <w:ind w:firstLine="480"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val="en-US" w:eastAsia="zh-CN" w:bidi="ar-SA"/>
        </w:rPr>
        <w:t>（一）</w:t>
      </w:r>
      <w:r>
        <w:rPr>
          <w:rFonts w:hint="eastAsia" w:ascii="仿宋" w:hAnsi="仿宋" w:eastAsia="仿宋" w:cs="仿宋"/>
          <w:color w:val="auto"/>
          <w:kern w:val="2"/>
          <w:sz w:val="24"/>
          <w:szCs w:val="24"/>
        </w:rPr>
        <w:t>服务期限：服务期一年，以合同签订日期为准;</w:t>
      </w:r>
    </w:p>
    <w:p w14:paraId="50B98D5C">
      <w:pPr>
        <w:numPr>
          <w:ilvl w:val="0"/>
          <w:numId w:val="0"/>
        </w:numPr>
        <w:adjustRightInd w:val="0"/>
        <w:spacing w:before="100" w:after="100" w:line="300" w:lineRule="auto"/>
        <w:ind w:firstLine="480"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val="en-US" w:eastAsia="zh-CN" w:bidi="ar-SA"/>
        </w:rPr>
        <w:t>（二）</w:t>
      </w:r>
      <w:r>
        <w:rPr>
          <w:rFonts w:hint="eastAsia" w:ascii="仿宋" w:hAnsi="仿宋" w:eastAsia="仿宋" w:cs="仿宋"/>
          <w:color w:val="auto"/>
          <w:kern w:val="2"/>
          <w:sz w:val="24"/>
          <w:szCs w:val="24"/>
        </w:rPr>
        <w:t>采购人：本次采购活动由母公司湖北楚安实业发展有限公司代为组织实</w:t>
      </w:r>
      <w:r>
        <w:rPr>
          <w:rFonts w:hint="eastAsia" w:ascii="仿宋" w:hAnsi="仿宋" w:eastAsia="仿宋" w:cs="仿宋"/>
          <w:color w:val="auto"/>
          <w:kern w:val="2"/>
          <w:sz w:val="24"/>
          <w:szCs w:val="24"/>
        </w:rPr>
        <w:t>施。</w:t>
      </w:r>
    </w:p>
    <w:p w14:paraId="371B8DF1">
      <w:pPr>
        <w:numPr>
          <w:ilvl w:val="0"/>
          <w:numId w:val="2"/>
        </w:numPr>
        <w:adjustRightInd w:val="0"/>
        <w:spacing w:before="100" w:after="100" w:line="300" w:lineRule="auto"/>
        <w:ind w:firstLine="482" w:firstLineChars="200"/>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lang w:val="en-US" w:eastAsia="zh-CN"/>
        </w:rPr>
        <w:t>报价要求</w:t>
      </w:r>
    </w:p>
    <w:p w14:paraId="76CA66DC">
      <w:pPr>
        <w:adjustRightInd w:val="0"/>
        <w:spacing w:before="100" w:after="100" w:line="300" w:lineRule="auto"/>
        <w:ind w:firstLine="480"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供应商应按照本采购文件规定的采购需求及合同条款进行报价，并按磋商采购文件确定的格式报出。报价中不得包含磋商采购文件要求以外的内容，否则，在评审时不予核减。报价中也不得缺漏磋商采购文件所要求的内容，否则，其响应文件将被视为无效文件。</w:t>
      </w:r>
    </w:p>
    <w:p w14:paraId="2FB6A2A2">
      <w:pPr>
        <w:adjustRightInd w:val="0"/>
        <w:spacing w:before="100" w:after="100" w:line="300" w:lineRule="auto"/>
        <w:ind w:firstLine="480"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highlight w:val="none"/>
        </w:rPr>
        <w:t>供应商应根据本磋商文件的规定和要求等提出自己的报价。</w:t>
      </w:r>
      <w:r>
        <w:rPr>
          <w:rFonts w:hint="eastAsia" w:ascii="仿宋" w:hAnsi="仿宋" w:eastAsia="仿宋" w:cs="仿宋"/>
          <w:color w:val="auto"/>
          <w:kern w:val="2"/>
          <w:sz w:val="24"/>
          <w:szCs w:val="24"/>
        </w:rPr>
        <w:t>报价应包含完成本采购文件采购需求全部内容的所有费用，所有根据本采购文件或其它原因应由磋商供应商支付的税款和其他应交纳的费用都应包括在报价中。</w:t>
      </w:r>
    </w:p>
    <w:p w14:paraId="79A8887D">
      <w:pPr>
        <w:adjustRightInd w:val="0"/>
        <w:spacing w:before="100" w:after="100" w:line="300" w:lineRule="auto"/>
        <w:ind w:firstLine="480"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每一种采购内容只允许</w:t>
      </w:r>
      <w:r>
        <w:rPr>
          <w:rFonts w:hint="eastAsia" w:ascii="仿宋" w:hAnsi="仿宋" w:eastAsia="仿宋" w:cs="仿宋"/>
          <w:color w:val="auto"/>
          <w:kern w:val="2"/>
          <w:sz w:val="24"/>
          <w:szCs w:val="24"/>
          <w:highlight w:val="none"/>
        </w:rPr>
        <w:t>有一个报价</w:t>
      </w:r>
      <w:r>
        <w:rPr>
          <w:rFonts w:hint="eastAsia" w:ascii="仿宋" w:hAnsi="仿宋" w:eastAsia="仿宋" w:cs="仿宋"/>
          <w:color w:val="auto"/>
          <w:kern w:val="2"/>
          <w:sz w:val="24"/>
          <w:szCs w:val="24"/>
          <w:highlight w:val="none"/>
          <w:lang w:eastAsia="zh-CN"/>
        </w:rPr>
        <w:t>。</w:t>
      </w:r>
      <w:r>
        <w:rPr>
          <w:rFonts w:hint="eastAsia" w:ascii="仿宋" w:hAnsi="仿宋" w:eastAsia="仿宋" w:cs="仿宋"/>
          <w:color w:val="auto"/>
          <w:kern w:val="2"/>
          <w:sz w:val="24"/>
          <w:szCs w:val="24"/>
          <w:highlight w:val="none"/>
          <w:lang w:val="en-US" w:eastAsia="zh-CN"/>
        </w:rPr>
        <w:t>该价格</w:t>
      </w:r>
      <w:r>
        <w:rPr>
          <w:rFonts w:hint="eastAsia" w:ascii="仿宋" w:hAnsi="仿宋" w:eastAsia="仿宋" w:cs="仿宋"/>
          <w:color w:val="auto"/>
          <w:kern w:val="2"/>
          <w:sz w:val="24"/>
          <w:szCs w:val="24"/>
        </w:rPr>
        <w:t>在合同执行过程中是固定不变的，不得以任何理由予以变更。否则其响应文件将被视为无效文件。</w:t>
      </w:r>
    </w:p>
    <w:p w14:paraId="724B3020">
      <w:pPr>
        <w:numPr>
          <w:ilvl w:val="0"/>
          <w:numId w:val="2"/>
        </w:numPr>
        <w:adjustRightInd w:val="0"/>
        <w:spacing w:before="100" w:after="100" w:line="300" w:lineRule="auto"/>
        <w:ind w:firstLine="482" w:firstLineChars="200"/>
        <w:rPr>
          <w:rFonts w:hint="eastAsia" w:ascii="仿宋" w:hAnsi="仿宋" w:eastAsia="仿宋" w:cs="仿宋"/>
          <w:b/>
          <w:color w:val="auto"/>
          <w:kern w:val="2"/>
          <w:sz w:val="24"/>
          <w:szCs w:val="24"/>
        </w:rPr>
      </w:pPr>
      <w:r>
        <w:rPr>
          <w:rFonts w:hint="eastAsia" w:ascii="仿宋" w:hAnsi="仿宋" w:eastAsia="仿宋" w:cs="仿宋"/>
          <w:b/>
          <w:color w:val="auto"/>
          <w:kern w:val="2"/>
          <w:sz w:val="24"/>
          <w:szCs w:val="24"/>
        </w:rPr>
        <w:t>供应商资格要求</w:t>
      </w:r>
    </w:p>
    <w:p w14:paraId="51022622">
      <w:pPr>
        <w:numPr>
          <w:ilvl w:val="0"/>
          <w:numId w:val="3"/>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须具备在中华人民共和国境内注册，具有独立法人资格，有效营业执照。</w:t>
      </w:r>
    </w:p>
    <w:p w14:paraId="5AD77593">
      <w:pPr>
        <w:numPr>
          <w:ilvl w:val="0"/>
          <w:numId w:val="3"/>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供应商具有</w:t>
      </w:r>
      <w:r>
        <w:rPr>
          <w:rFonts w:hint="eastAsia" w:ascii="仿宋" w:hAnsi="仿宋" w:eastAsia="仿宋" w:cs="仿宋"/>
          <w:color w:val="auto"/>
          <w:sz w:val="24"/>
          <w:szCs w:val="24"/>
        </w:rPr>
        <w:t>《快递业务经营许可证》</w:t>
      </w:r>
      <w:r>
        <w:rPr>
          <w:rFonts w:hint="eastAsia" w:ascii="仿宋" w:hAnsi="仿宋" w:eastAsia="仿宋" w:cs="仿宋"/>
          <w:color w:val="auto"/>
          <w:sz w:val="24"/>
          <w:szCs w:val="24"/>
          <w:lang w:eastAsia="zh-CN"/>
        </w:rPr>
        <w:t>。</w:t>
      </w:r>
    </w:p>
    <w:p w14:paraId="75D96E10">
      <w:pPr>
        <w:numPr>
          <w:ilvl w:val="0"/>
          <w:numId w:val="3"/>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具有近</w:t>
      </w:r>
      <w:r>
        <w:rPr>
          <w:rFonts w:hint="eastAsia" w:ascii="仿宋" w:hAnsi="仿宋" w:eastAsia="仿宋" w:cs="仿宋"/>
          <w:color w:val="auto"/>
          <w:sz w:val="24"/>
          <w:szCs w:val="24"/>
        </w:rPr>
        <w:t>三个月完税凭证及社保缴纳证明</w:t>
      </w:r>
      <w:r>
        <w:rPr>
          <w:rFonts w:hint="eastAsia" w:ascii="仿宋" w:hAnsi="仿宋" w:eastAsia="仿宋" w:cs="仿宋"/>
          <w:color w:val="auto"/>
          <w:kern w:val="2"/>
          <w:sz w:val="24"/>
          <w:szCs w:val="24"/>
        </w:rPr>
        <w:t>。</w:t>
      </w:r>
    </w:p>
    <w:p w14:paraId="525DAE7E">
      <w:pPr>
        <w:numPr>
          <w:ilvl w:val="0"/>
          <w:numId w:val="3"/>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提供近三年以来类似项目的经营业绩，项目</w:t>
      </w:r>
      <w:r>
        <w:rPr>
          <w:rFonts w:hint="eastAsia" w:ascii="仿宋" w:hAnsi="仿宋" w:eastAsia="仿宋" w:cs="仿宋"/>
          <w:color w:val="auto"/>
          <w:kern w:val="2"/>
          <w:sz w:val="24"/>
          <w:szCs w:val="24"/>
          <w:lang w:val="en-US" w:eastAsia="zh-CN"/>
        </w:rPr>
        <w:t>中标（</w:t>
      </w:r>
      <w:r>
        <w:rPr>
          <w:rFonts w:hint="eastAsia" w:ascii="仿宋" w:hAnsi="仿宋" w:eastAsia="仿宋" w:cs="仿宋"/>
          <w:color w:val="auto"/>
          <w:kern w:val="2"/>
          <w:sz w:val="24"/>
          <w:szCs w:val="24"/>
        </w:rPr>
        <w:t>成交</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通知书（如有）</w:t>
      </w:r>
      <w:r>
        <w:rPr>
          <w:rFonts w:hint="eastAsia" w:ascii="仿宋" w:hAnsi="仿宋" w:eastAsia="仿宋" w:cs="仿宋"/>
          <w:color w:val="auto"/>
          <w:kern w:val="2"/>
          <w:sz w:val="24"/>
          <w:szCs w:val="24"/>
          <w:lang w:val="en-US" w:eastAsia="zh-CN"/>
        </w:rPr>
        <w:t>和</w:t>
      </w:r>
      <w:r>
        <w:rPr>
          <w:rFonts w:hint="eastAsia" w:ascii="仿宋" w:hAnsi="仿宋" w:eastAsia="仿宋" w:cs="仿宋"/>
          <w:color w:val="auto"/>
          <w:kern w:val="2"/>
          <w:sz w:val="24"/>
          <w:szCs w:val="24"/>
        </w:rPr>
        <w:t>合同复印件</w:t>
      </w:r>
      <w:r>
        <w:rPr>
          <w:rFonts w:hint="eastAsia" w:ascii="仿宋" w:hAnsi="仿宋" w:eastAsia="仿宋" w:cs="仿宋"/>
          <w:color w:val="auto"/>
          <w:kern w:val="2"/>
          <w:sz w:val="24"/>
          <w:szCs w:val="24"/>
        </w:rPr>
        <w:t>（原件备查）。</w:t>
      </w:r>
    </w:p>
    <w:p w14:paraId="1880C4D3">
      <w:pPr>
        <w:numPr>
          <w:ilvl w:val="0"/>
          <w:numId w:val="3"/>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供应商应承诺其声明的真实性，并授权采购方通过“信用中国”、“中国执行信息公开网”等官方平台进行核查；在响应文件提交截止时间前，未被最高人民法院在“中国执行信息公开网”网站（http://zxgk.court.gov.cn）列为失信被执行人（可提供“中国执行信息公开网”－“失信被执行人”查询截图，无失信被执行人惩戒信息）；未被国家市场监督管理部门在国家企业信用信息公示系统（www.gsxt.gov.cn）中列入严重违法失信企业名单（可提供供应商在国家企业信用信息公示系统网页查询截图，严重违法失信一栏中无不良记录）；未被中国政府采购网（www.ccgp.gov.cn）列入“政府采购严重违法失信行为记录名单”（可提供中国政府采购网政府采购严重违法失信行为记录名单企业查询网页截图，或者“中国执行信息公开网（http://zxgk.court.gov.cn/）”－“信用中国”－“政府采购严重违法失信行为记录名单”的网页查询截图）；如声明失实，将被视为提供虚假材料谋取成交，采购方有权取消其资格或单方面解除合同，并追究其法律责任。</w:t>
      </w:r>
    </w:p>
    <w:p w14:paraId="14BBEA5A">
      <w:pPr>
        <w:numPr>
          <w:ilvl w:val="0"/>
          <w:numId w:val="3"/>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参加本次磋商活动前三年在经营活动中没有违法记录（是指因违法经营受到刑事处罚或责令停产停业、吊销许可证或执照、较大数额罚款等行政处罚）的书面声明（提供声明函）。</w:t>
      </w:r>
    </w:p>
    <w:p w14:paraId="489CA97F">
      <w:pPr>
        <w:numPr>
          <w:ilvl w:val="0"/>
          <w:numId w:val="3"/>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供应商对采购方各事项有保密义务。</w:t>
      </w:r>
    </w:p>
    <w:p w14:paraId="3E3D4030">
      <w:pPr>
        <w:numPr>
          <w:ilvl w:val="0"/>
          <w:numId w:val="2"/>
        </w:numPr>
        <w:adjustRightInd w:val="0"/>
        <w:spacing w:before="100" w:after="100" w:line="300" w:lineRule="auto"/>
        <w:ind w:firstLine="482" w:firstLineChars="200"/>
        <w:rPr>
          <w:rFonts w:hint="eastAsia" w:ascii="仿宋" w:hAnsi="仿宋" w:eastAsia="仿宋" w:cs="仿宋"/>
          <w:b/>
          <w:color w:val="auto"/>
          <w:kern w:val="2"/>
          <w:sz w:val="24"/>
          <w:szCs w:val="24"/>
        </w:rPr>
      </w:pPr>
      <w:r>
        <w:rPr>
          <w:rFonts w:hint="eastAsia" w:ascii="仿宋" w:hAnsi="仿宋" w:eastAsia="仿宋" w:cs="仿宋"/>
          <w:b/>
          <w:color w:val="auto"/>
          <w:kern w:val="2"/>
          <w:sz w:val="24"/>
          <w:szCs w:val="24"/>
        </w:rPr>
        <w:t>响应文件的编制及递交</w:t>
      </w:r>
    </w:p>
    <w:p w14:paraId="6DF16C5B">
      <w:pPr>
        <w:numPr>
          <w:ilvl w:val="0"/>
          <w:numId w:val="4"/>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响应文件正本一份（整本加盖骑缝章），副本三册。装订须采用不可折卸装订。</w:t>
      </w:r>
    </w:p>
    <w:p w14:paraId="393217DD">
      <w:pPr>
        <w:numPr>
          <w:ilvl w:val="0"/>
          <w:numId w:val="4"/>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响应文件应用不褪色的材料书写或打印，并由供应商授权代表签字、盖公章。供应商代表是法定代表人的，响应文件应附法定代表人身份证明；供应商代表是授权代理人的，响应文件应附供应商法定代表人签署的授权委托书和授权代理人身份证明。</w:t>
      </w:r>
    </w:p>
    <w:p w14:paraId="1E5474D7">
      <w:pPr>
        <w:numPr>
          <w:ilvl w:val="0"/>
          <w:numId w:val="4"/>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响应文件应尽量避免涂改、行间插字或删除。如果出现上述情况，改动之处应加盖公章或由供应商代表签字确认。</w:t>
      </w:r>
    </w:p>
    <w:p w14:paraId="03F0F4FD">
      <w:pPr>
        <w:numPr>
          <w:ilvl w:val="0"/>
          <w:numId w:val="4"/>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编制的响应文件资料目录需加盖公章或供应商代表签字，正本由供应商代表签字。授权代理人须将“授权委托书”（原件）附在正本响应文件中。若正本和副本有不一致之处，以正本为准（响应文件表格中内容应与磋商文件中相应表格内容一致，且均为加盖公章及签章的原件）。</w:t>
      </w:r>
    </w:p>
    <w:p w14:paraId="5F3EFE63">
      <w:pPr>
        <w:numPr>
          <w:ilvl w:val="0"/>
          <w:numId w:val="4"/>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供应商以现场报送或邮寄的方式（响应文件盖章密封，在封口处加盖响应单位骑缝公章），于2026年</w:t>
      </w:r>
      <w:r>
        <w:rPr>
          <w:rFonts w:hint="eastAsia" w:ascii="仿宋" w:hAnsi="仿宋" w:eastAsia="仿宋" w:cs="仿宋"/>
          <w:color w:val="auto"/>
          <w:kern w:val="2"/>
          <w:sz w:val="24"/>
          <w:szCs w:val="24"/>
          <w:lang w:val="en-US" w:eastAsia="zh-CN"/>
        </w:rPr>
        <w:t>8</w:t>
      </w:r>
      <w:r>
        <w:rPr>
          <w:rFonts w:hint="eastAsia" w:ascii="仿宋" w:hAnsi="仿宋" w:eastAsia="仿宋" w:cs="仿宋"/>
          <w:color w:val="auto"/>
          <w:kern w:val="2"/>
          <w:sz w:val="24"/>
          <w:szCs w:val="24"/>
        </w:rPr>
        <w:t>月</w:t>
      </w:r>
      <w:r>
        <w:rPr>
          <w:rFonts w:hint="eastAsia" w:ascii="仿宋" w:hAnsi="仿宋" w:eastAsia="仿宋" w:cs="仿宋"/>
          <w:color w:val="auto"/>
          <w:kern w:val="2"/>
          <w:sz w:val="24"/>
          <w:szCs w:val="24"/>
          <w:lang w:val="en-US" w:eastAsia="zh-CN"/>
        </w:rPr>
        <w:t>5</w:t>
      </w:r>
      <w:r>
        <w:rPr>
          <w:rFonts w:hint="eastAsia" w:ascii="仿宋" w:hAnsi="仿宋" w:eastAsia="仿宋" w:cs="仿宋"/>
          <w:color w:val="auto"/>
          <w:kern w:val="2"/>
          <w:sz w:val="24"/>
          <w:szCs w:val="24"/>
        </w:rPr>
        <w:t>日9:00前送（寄）至武汉市武昌区雄楚大街97号（湖北鄂安标牌厂），联系人及电话：缪梦云13627262620。</w:t>
      </w:r>
    </w:p>
    <w:p w14:paraId="467FFD30">
      <w:pPr>
        <w:numPr>
          <w:ilvl w:val="0"/>
          <w:numId w:val="4"/>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出现下列情况之一者，响应文件无效，作废处理：</w:t>
      </w:r>
    </w:p>
    <w:p w14:paraId="32188C2A">
      <w:pPr>
        <w:adjustRightInd w:val="0"/>
        <w:spacing w:before="100" w:after="100" w:line="300" w:lineRule="auto"/>
        <w:ind w:left="420" w:left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1.未提供营业执照有效复印件（加盖供应商公章）。</w:t>
      </w:r>
    </w:p>
    <w:p w14:paraId="1BE5C217">
      <w:pPr>
        <w:adjustRightInd w:val="0"/>
        <w:spacing w:before="100" w:after="100" w:line="300" w:lineRule="auto"/>
        <w:ind w:left="420" w:left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2.响应文件字迹模糊不清（包括提交的各类复印件、图纸）。</w:t>
      </w:r>
    </w:p>
    <w:p w14:paraId="111AF47A">
      <w:pPr>
        <w:adjustRightInd w:val="0"/>
        <w:spacing w:before="100" w:after="100" w:line="300" w:lineRule="auto"/>
        <w:ind w:left="420" w:left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3.响应文件内容没有实质性响应磋商文件要求。</w:t>
      </w:r>
      <w:bookmarkStart w:id="2" w:name="_Toc10686"/>
      <w:bookmarkStart w:id="3" w:name="_Toc3247"/>
      <w:bookmarkStart w:id="4" w:name="_Toc8566"/>
      <w:bookmarkStart w:id="5" w:name="_Toc7485"/>
      <w:bookmarkStart w:id="6" w:name="_Toc8104"/>
      <w:bookmarkStart w:id="7" w:name="_Toc17654"/>
      <w:bookmarkStart w:id="8" w:name="_Toc21487"/>
      <w:bookmarkStart w:id="9" w:name="_Toc20250"/>
    </w:p>
    <w:p w14:paraId="06484A70">
      <w:pPr>
        <w:pStyle w:val="2"/>
        <w:numPr>
          <w:ilvl w:val="0"/>
          <w:numId w:val="1"/>
        </w:numPr>
        <w:spacing w:before="240" w:after="24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评定办法</w:t>
      </w:r>
      <w:bookmarkEnd w:id="2"/>
      <w:bookmarkEnd w:id="3"/>
      <w:bookmarkEnd w:id="4"/>
      <w:bookmarkEnd w:id="5"/>
      <w:bookmarkEnd w:id="6"/>
      <w:bookmarkEnd w:id="7"/>
      <w:bookmarkEnd w:id="8"/>
      <w:bookmarkEnd w:id="9"/>
    </w:p>
    <w:p w14:paraId="7EA66E39">
      <w:pPr>
        <w:pStyle w:val="3"/>
        <w:rPr>
          <w:rFonts w:hint="eastAsia" w:ascii="仿宋" w:hAnsi="仿宋" w:eastAsia="仿宋" w:cs="仿宋"/>
          <w:color w:val="auto"/>
          <w:sz w:val="24"/>
          <w:szCs w:val="24"/>
        </w:rPr>
      </w:pPr>
      <w:bookmarkStart w:id="10" w:name="_Toc16712"/>
      <w:bookmarkStart w:id="11" w:name="_Toc32333"/>
      <w:bookmarkStart w:id="12" w:name="_Toc29302"/>
      <w:bookmarkStart w:id="13" w:name="_Toc25990"/>
      <w:bookmarkStart w:id="14" w:name="_Toc27013"/>
      <w:bookmarkStart w:id="15" w:name="_Toc12298"/>
      <w:bookmarkStart w:id="16" w:name="_Toc8749"/>
      <w:bookmarkStart w:id="17" w:name="_Toc32722"/>
      <w:bookmarkStart w:id="18" w:name="_Toc142996712"/>
      <w:bookmarkStart w:id="19" w:name="_Toc32322"/>
      <w:bookmarkStart w:id="20" w:name="_Toc211783328"/>
      <w:bookmarkStart w:id="21" w:name="_Toc318643471"/>
      <w:r>
        <w:rPr>
          <w:rFonts w:hint="eastAsia" w:ascii="仿宋" w:hAnsi="仿宋" w:eastAsia="仿宋" w:cs="仿宋"/>
          <w:color w:val="auto"/>
          <w:sz w:val="24"/>
          <w:szCs w:val="24"/>
        </w:rPr>
        <w:t>评分细则</w:t>
      </w:r>
      <w:bookmarkEnd w:id="10"/>
      <w:bookmarkEnd w:id="11"/>
      <w:bookmarkEnd w:id="12"/>
      <w:bookmarkEnd w:id="13"/>
      <w:bookmarkEnd w:id="14"/>
      <w:bookmarkEnd w:id="15"/>
      <w:bookmarkEnd w:id="16"/>
      <w:bookmarkEnd w:id="17"/>
      <w:bookmarkEnd w:id="18"/>
      <w:bookmarkEnd w:id="19"/>
    </w:p>
    <w:tbl>
      <w:tblPr>
        <w:tblStyle w:val="22"/>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0"/>
        <w:gridCol w:w="1371"/>
        <w:gridCol w:w="6537"/>
      </w:tblGrid>
      <w:tr w14:paraId="4C43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220" w:type="dxa"/>
            <w:vAlign w:val="center"/>
          </w:tcPr>
          <w:p w14:paraId="1611AC56">
            <w:pPr>
              <w:widowControl/>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评标项目</w:t>
            </w:r>
          </w:p>
        </w:tc>
        <w:tc>
          <w:tcPr>
            <w:tcW w:w="1371" w:type="dxa"/>
            <w:vAlign w:val="center"/>
          </w:tcPr>
          <w:p w14:paraId="30FAB4DE">
            <w:pPr>
              <w:widowControl/>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评标分项</w:t>
            </w:r>
          </w:p>
        </w:tc>
        <w:tc>
          <w:tcPr>
            <w:tcW w:w="6537" w:type="dxa"/>
            <w:vAlign w:val="center"/>
          </w:tcPr>
          <w:p w14:paraId="02F85559">
            <w:pPr>
              <w:widowControl/>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评标分项及分值</w:t>
            </w:r>
          </w:p>
        </w:tc>
      </w:tr>
      <w:tr w14:paraId="01CA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220" w:type="dxa"/>
            <w:vMerge w:val="restart"/>
            <w:vAlign w:val="center"/>
          </w:tcPr>
          <w:p w14:paraId="66495E72">
            <w:pPr>
              <w:widowControl/>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商务部分</w:t>
            </w:r>
          </w:p>
          <w:p w14:paraId="0599A3CE">
            <w:pPr>
              <w:widowControl/>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（15分）</w:t>
            </w:r>
          </w:p>
        </w:tc>
        <w:tc>
          <w:tcPr>
            <w:tcW w:w="1371" w:type="dxa"/>
            <w:vAlign w:val="center"/>
          </w:tcPr>
          <w:p w14:paraId="2FE41011">
            <w:pPr>
              <w:widowControl/>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类似业绩</w:t>
            </w:r>
          </w:p>
          <w:p w14:paraId="52179F1A">
            <w:pPr>
              <w:widowControl/>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10分</w:t>
            </w:r>
          </w:p>
        </w:tc>
        <w:tc>
          <w:tcPr>
            <w:tcW w:w="6537" w:type="dxa"/>
            <w:vAlign w:val="center"/>
          </w:tcPr>
          <w:p w14:paraId="7B78F144">
            <w:pPr>
              <w:widowControl/>
              <w:spacing w:line="40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供应商近三年（2023年1月至今）拥有快递物流服务业绩的每提供一个得2分，最高得10分，没有的不得分。以合同签订时间为准。（需提供中标</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成交</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通知书和合同）</w:t>
            </w:r>
          </w:p>
        </w:tc>
      </w:tr>
      <w:tr w14:paraId="725A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20" w:type="dxa"/>
            <w:vMerge w:val="continue"/>
            <w:vAlign w:val="center"/>
          </w:tcPr>
          <w:p w14:paraId="1D4F7F3A">
            <w:pPr>
              <w:widowControl/>
              <w:spacing w:line="400" w:lineRule="exact"/>
              <w:jc w:val="center"/>
              <w:rPr>
                <w:rFonts w:hint="eastAsia" w:ascii="仿宋" w:hAnsi="仿宋" w:eastAsia="仿宋" w:cs="仿宋"/>
                <w:color w:val="auto"/>
                <w:sz w:val="24"/>
                <w:szCs w:val="24"/>
              </w:rPr>
            </w:pPr>
          </w:p>
        </w:tc>
        <w:tc>
          <w:tcPr>
            <w:tcW w:w="1371" w:type="dxa"/>
            <w:vAlign w:val="center"/>
          </w:tcPr>
          <w:p w14:paraId="507EC2D1">
            <w:pPr>
              <w:widowControl/>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客户评价</w:t>
            </w:r>
          </w:p>
          <w:p w14:paraId="3C45627C">
            <w:pPr>
              <w:widowControl/>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5分</w:t>
            </w:r>
          </w:p>
        </w:tc>
        <w:tc>
          <w:tcPr>
            <w:tcW w:w="6537" w:type="dxa"/>
            <w:vAlign w:val="center"/>
          </w:tcPr>
          <w:p w14:paraId="1F4755FA">
            <w:pPr>
              <w:widowControl/>
              <w:spacing w:line="40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供应商前款“类似业绩”提供的有效业绩得到被委托人单位得到认可并出具正面评价证明（证明文件应盖有委托人单位公章），每提供一个正面评价的得1分，本项最高得5分。</w:t>
            </w:r>
          </w:p>
        </w:tc>
      </w:tr>
      <w:tr w14:paraId="0E39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20" w:type="dxa"/>
            <w:vMerge w:val="restart"/>
            <w:vAlign w:val="center"/>
          </w:tcPr>
          <w:p w14:paraId="7B577F53">
            <w:pPr>
              <w:widowControl/>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技术部分</w:t>
            </w:r>
          </w:p>
          <w:p w14:paraId="5EF2E628">
            <w:pPr>
              <w:widowControl/>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（45分）</w:t>
            </w:r>
          </w:p>
        </w:tc>
        <w:tc>
          <w:tcPr>
            <w:tcW w:w="1371" w:type="dxa"/>
            <w:vAlign w:val="center"/>
          </w:tcPr>
          <w:p w14:paraId="28052EF2">
            <w:pPr>
              <w:widowControl/>
              <w:adjustRightInd w:val="0"/>
              <w:snapToGrid w:val="0"/>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项目工作方案15分</w:t>
            </w:r>
          </w:p>
        </w:tc>
        <w:tc>
          <w:tcPr>
            <w:tcW w:w="6537" w:type="dxa"/>
            <w:vAlign w:val="center"/>
          </w:tcPr>
          <w:p w14:paraId="45878404">
            <w:pPr>
              <w:widowControl/>
              <w:adjustRightInd w:val="0"/>
              <w:snapToGrid w:val="0"/>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针对本项目描述细致，能深入了解实际情况，能有针对性地制定项目工作方案，内容分析描述的全面合理得11-15分；</w:t>
            </w:r>
          </w:p>
          <w:p w14:paraId="497F56E2">
            <w:pPr>
              <w:widowControl/>
              <w:adjustRightInd w:val="0"/>
              <w:snapToGrid w:val="0"/>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方案分析描述的较为全面合理、贴近实际的得7-10分；</w:t>
            </w:r>
          </w:p>
          <w:p w14:paraId="15F80BEE">
            <w:pPr>
              <w:widowControl/>
              <w:adjustRightInd w:val="0"/>
              <w:snapToGrid w:val="0"/>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方案分析描述不完整、有一定可行性得4-6分；</w:t>
            </w:r>
          </w:p>
          <w:p w14:paraId="7B45C055">
            <w:pPr>
              <w:adjustRightInd w:val="0"/>
              <w:snapToGrid w:val="0"/>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分析描述的不合理、脱离实际的得0-3分，未提供不得分。</w:t>
            </w:r>
          </w:p>
        </w:tc>
      </w:tr>
      <w:tr w14:paraId="739F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20" w:type="dxa"/>
            <w:vMerge w:val="continue"/>
            <w:vAlign w:val="center"/>
          </w:tcPr>
          <w:p w14:paraId="14F0F055">
            <w:pPr>
              <w:spacing w:line="400" w:lineRule="exact"/>
              <w:jc w:val="center"/>
              <w:rPr>
                <w:rFonts w:hint="eastAsia" w:ascii="仿宋" w:hAnsi="仿宋" w:eastAsia="仿宋" w:cs="仿宋"/>
                <w:color w:val="auto"/>
                <w:sz w:val="24"/>
                <w:szCs w:val="24"/>
              </w:rPr>
            </w:pPr>
          </w:p>
        </w:tc>
        <w:tc>
          <w:tcPr>
            <w:tcW w:w="1371" w:type="dxa"/>
            <w:vAlign w:val="center"/>
          </w:tcPr>
          <w:p w14:paraId="0B6DF065">
            <w:pPr>
              <w:widowControl/>
              <w:adjustRightInd w:val="0"/>
              <w:snapToGrid w:val="0"/>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服务承诺10分</w:t>
            </w:r>
          </w:p>
        </w:tc>
        <w:tc>
          <w:tcPr>
            <w:tcW w:w="6537" w:type="dxa"/>
            <w:vAlign w:val="center"/>
          </w:tcPr>
          <w:p w14:paraId="5838CF7A">
            <w:pPr>
              <w:widowControl/>
              <w:adjustRightInd w:val="0"/>
              <w:snapToGrid w:val="0"/>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供应商针对本项目有完整的项目服务承诺：</w:t>
            </w:r>
          </w:p>
          <w:p w14:paraId="4B55D181">
            <w:pPr>
              <w:widowControl/>
              <w:adjustRightInd w:val="0"/>
              <w:snapToGrid w:val="0"/>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服务承诺具体、服务便捷，措施可行的得7-10分；</w:t>
            </w:r>
          </w:p>
          <w:p w14:paraId="371F6198">
            <w:pPr>
              <w:widowControl/>
              <w:adjustRightInd w:val="0"/>
              <w:snapToGrid w:val="0"/>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服务承诺较为具体、服务较为便捷，措施较为可行的得4-6分；服务承诺不具体、服务不便捷，措施基本可行的得0-3分。</w:t>
            </w:r>
          </w:p>
        </w:tc>
      </w:tr>
      <w:tr w14:paraId="5AB2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20" w:type="dxa"/>
            <w:vMerge w:val="continue"/>
            <w:vAlign w:val="center"/>
          </w:tcPr>
          <w:p w14:paraId="0AA8741B">
            <w:pPr>
              <w:widowControl/>
              <w:spacing w:line="400" w:lineRule="exact"/>
              <w:jc w:val="center"/>
              <w:rPr>
                <w:rFonts w:hint="eastAsia" w:ascii="仿宋" w:hAnsi="仿宋" w:eastAsia="仿宋" w:cs="仿宋"/>
                <w:color w:val="auto"/>
                <w:sz w:val="24"/>
                <w:szCs w:val="24"/>
              </w:rPr>
            </w:pPr>
          </w:p>
        </w:tc>
        <w:tc>
          <w:tcPr>
            <w:tcW w:w="1371" w:type="dxa"/>
            <w:vAlign w:val="center"/>
          </w:tcPr>
          <w:p w14:paraId="18877B17">
            <w:pPr>
              <w:widowControl/>
              <w:adjustRightInd w:val="0"/>
              <w:snapToGrid w:val="0"/>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服务方案与</w:t>
            </w:r>
          </w:p>
          <w:p w14:paraId="571A6B07">
            <w:pPr>
              <w:widowControl/>
              <w:adjustRightInd w:val="0"/>
              <w:snapToGrid w:val="0"/>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质量保障（15分）</w:t>
            </w:r>
          </w:p>
        </w:tc>
        <w:tc>
          <w:tcPr>
            <w:tcW w:w="6537" w:type="dxa"/>
            <w:vAlign w:val="center"/>
          </w:tcPr>
          <w:p w14:paraId="2B9B0582">
            <w:pPr>
              <w:widowControl/>
              <w:adjustRightInd w:val="0"/>
              <w:snapToGrid w:val="0"/>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KPI保障与改进方案（8分）：</w:t>
            </w:r>
          </w:p>
          <w:p w14:paraId="7E45FD71">
            <w:pPr>
              <w:widowControl/>
              <w:adjustRightInd w:val="0"/>
              <w:snapToGrid w:val="0"/>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针对招标人要求的各项KPI（时效、丢失、破损、投</w:t>
            </w:r>
            <w:r>
              <w:rPr>
                <w:rFonts w:hint="eastAsia" w:ascii="仿宋" w:hAnsi="仿宋" w:eastAsia="仿宋" w:cs="仿宋"/>
                <w:color w:val="auto"/>
                <w:sz w:val="24"/>
                <w:szCs w:val="24"/>
              </w:rPr>
              <w:t>诉、理赔等），提出具体、量化的保障措施和改进预案。</w:t>
            </w:r>
            <w:r>
              <w:rPr>
                <w:rFonts w:hint="eastAsia" w:ascii="仿宋" w:hAnsi="仿宋" w:eastAsia="仿宋" w:cs="仿宋"/>
                <w:color w:val="auto"/>
                <w:sz w:val="24"/>
                <w:szCs w:val="24"/>
              </w:rPr>
              <w:t>措施有力、可操作性强，得6-8分；措施一般，得3-5分；措施空泛，得1-2分。</w:t>
            </w:r>
          </w:p>
          <w:p w14:paraId="73FCCBA9">
            <w:pPr>
              <w:widowControl/>
              <w:adjustRightInd w:val="0"/>
              <w:snapToGrid w:val="0"/>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高峰期的应急预案（7分）：</w:t>
            </w:r>
          </w:p>
          <w:p w14:paraId="4ED5CBF5">
            <w:pPr>
              <w:widowControl/>
              <w:adjustRightInd w:val="0"/>
              <w:snapToGrid w:val="0"/>
              <w:spacing w:line="400" w:lineRule="exact"/>
              <w:rPr>
                <w:rFonts w:hint="eastAsia" w:ascii="仿宋" w:hAnsi="仿宋" w:eastAsia="仿宋" w:cs="仿宋"/>
                <w:color w:val="auto"/>
                <w:sz w:val="24"/>
                <w:szCs w:val="24"/>
              </w:rPr>
            </w:pPr>
            <w:r>
              <w:rPr>
                <w:rFonts w:hint="eastAsia" w:ascii="仿宋" w:hAnsi="仿宋" w:eastAsia="仿宋" w:cs="仿宋"/>
                <w:color w:val="auto"/>
                <w:sz w:val="24"/>
                <w:szCs w:val="24"/>
              </w:rPr>
              <w:t>针对业务高峰期，有专门的人员、车辆、场地及路由应急方案。方案周全、历史执行记录好，得5-7分；方基本完整，得3-4分；方案简单，得1-2分。</w:t>
            </w:r>
          </w:p>
        </w:tc>
      </w:tr>
      <w:tr w14:paraId="0388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20" w:type="dxa"/>
            <w:vMerge w:val="continue"/>
            <w:vAlign w:val="center"/>
          </w:tcPr>
          <w:p w14:paraId="2718BCD4">
            <w:pPr>
              <w:widowControl/>
              <w:spacing w:line="400" w:lineRule="exact"/>
              <w:jc w:val="center"/>
              <w:rPr>
                <w:rFonts w:hint="eastAsia" w:ascii="仿宋" w:hAnsi="仿宋" w:eastAsia="仿宋" w:cs="仿宋"/>
                <w:color w:val="auto"/>
                <w:sz w:val="24"/>
                <w:szCs w:val="24"/>
              </w:rPr>
            </w:pPr>
          </w:p>
        </w:tc>
        <w:tc>
          <w:tcPr>
            <w:tcW w:w="1371" w:type="dxa"/>
            <w:vAlign w:val="center"/>
          </w:tcPr>
          <w:p w14:paraId="03C3F575">
            <w:pPr>
              <w:widowControl/>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合理化建议5分</w:t>
            </w:r>
          </w:p>
        </w:tc>
        <w:tc>
          <w:tcPr>
            <w:tcW w:w="6537" w:type="dxa"/>
            <w:vAlign w:val="center"/>
          </w:tcPr>
          <w:p w14:paraId="71AB83F9">
            <w:pPr>
              <w:widowControl/>
              <w:spacing w:line="40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根据本项目提出合理化建议。科学合理、针对性强得5分；合理、可行得3-4分；内容欠完善、基本可行得1-2分；不合理不可行或未提供的不得分。</w:t>
            </w:r>
          </w:p>
        </w:tc>
      </w:tr>
      <w:tr w14:paraId="7084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20" w:type="dxa"/>
            <w:vAlign w:val="center"/>
          </w:tcPr>
          <w:p w14:paraId="15B5592D">
            <w:pPr>
              <w:widowControl/>
              <w:spacing w:line="400" w:lineRule="exact"/>
              <w:jc w:val="center"/>
              <w:rPr>
                <w:rFonts w:hint="eastAsia" w:ascii="仿宋" w:hAnsi="仿宋" w:eastAsia="仿宋" w:cs="仿宋"/>
                <w:color w:val="auto"/>
                <w:sz w:val="24"/>
                <w:szCs w:val="24"/>
              </w:rPr>
            </w:pPr>
            <w:commentRangeStart w:id="0"/>
            <w:r>
              <w:rPr>
                <w:rFonts w:hint="eastAsia" w:ascii="仿宋" w:hAnsi="仿宋" w:eastAsia="仿宋" w:cs="仿宋"/>
                <w:color w:val="auto"/>
                <w:sz w:val="24"/>
                <w:szCs w:val="24"/>
              </w:rPr>
              <w:t>价格部分</w:t>
            </w:r>
            <w:commentRangeEnd w:id="0"/>
            <w:r>
              <w:rPr>
                <w:rStyle w:val="25"/>
                <w:rFonts w:hint="eastAsia" w:ascii="仿宋" w:hAnsi="仿宋" w:eastAsia="仿宋" w:cs="仿宋"/>
                <w:color w:val="auto"/>
                <w:sz w:val="24"/>
                <w:szCs w:val="24"/>
              </w:rPr>
              <w:commentReference w:id="0"/>
            </w:r>
          </w:p>
          <w:p w14:paraId="4F578915">
            <w:pPr>
              <w:widowControl/>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（40分）</w:t>
            </w:r>
          </w:p>
        </w:tc>
        <w:tc>
          <w:tcPr>
            <w:tcW w:w="7908" w:type="dxa"/>
            <w:gridSpan w:val="2"/>
            <w:vAlign w:val="center"/>
          </w:tcPr>
          <w:p w14:paraId="170C9647">
            <w:pPr>
              <w:widowControl/>
              <w:spacing w:line="40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满足文件要求且综合</w:t>
            </w:r>
            <w:r>
              <w:rPr>
                <w:rFonts w:hint="eastAsia" w:ascii="仿宋" w:hAnsi="仿宋" w:eastAsia="仿宋" w:cs="仿宋"/>
                <w:color w:val="auto"/>
                <w:sz w:val="24"/>
                <w:szCs w:val="24"/>
                <w:lang w:val="en-US" w:eastAsia="zh-CN"/>
              </w:rPr>
              <w:t>报价</w:t>
            </w:r>
            <w:r>
              <w:rPr>
                <w:rFonts w:hint="eastAsia" w:ascii="仿宋" w:hAnsi="仿宋" w:eastAsia="仿宋" w:cs="仿宋"/>
                <w:color w:val="auto"/>
                <w:sz w:val="24"/>
                <w:szCs w:val="24"/>
              </w:rPr>
              <w:t>最低（</w:t>
            </w:r>
            <w:r>
              <w:rPr>
                <w:rFonts w:ascii="仿宋" w:hAnsi="仿宋" w:eastAsia="仿宋" w:cs="仿宋"/>
                <w:color w:val="auto"/>
                <w:sz w:val="24"/>
                <w:szCs w:val="24"/>
              </w:rPr>
              <w:t>即对采购人最优惠）</w:t>
            </w:r>
            <w:r>
              <w:rPr>
                <w:rFonts w:hint="eastAsia" w:ascii="仿宋" w:hAnsi="仿宋" w:eastAsia="仿宋" w:cs="仿宋"/>
                <w:color w:val="auto"/>
                <w:sz w:val="24"/>
                <w:szCs w:val="24"/>
              </w:rPr>
              <w:t>的供应商的价格为基准价，其价格得分为满分（40分），其他供应商的价格得分按照以下公式计算：</w:t>
            </w:r>
          </w:p>
          <w:p w14:paraId="781EDF54">
            <w:pPr>
              <w:widowControl/>
              <w:spacing w:line="40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报价得分=（基准综合</w:t>
            </w:r>
            <w:r>
              <w:rPr>
                <w:rFonts w:hint="eastAsia" w:ascii="仿宋" w:hAnsi="仿宋" w:eastAsia="仿宋" w:cs="仿宋"/>
                <w:color w:val="auto"/>
                <w:sz w:val="24"/>
                <w:szCs w:val="24"/>
                <w:lang w:val="en-US" w:eastAsia="zh-CN"/>
              </w:rPr>
              <w:t>报价</w:t>
            </w:r>
            <w:r>
              <w:rPr>
                <w:rFonts w:hint="eastAsia" w:ascii="仿宋" w:hAnsi="仿宋" w:eastAsia="仿宋" w:cs="仿宋"/>
                <w:color w:val="auto"/>
                <w:sz w:val="24"/>
                <w:szCs w:val="24"/>
              </w:rPr>
              <w:t>/</w:t>
            </w:r>
            <w:r>
              <w:rPr>
                <w:rFonts w:ascii="仿宋" w:hAnsi="仿宋" w:eastAsia="仿宋" w:cs="仿宋"/>
                <w:color w:val="auto"/>
                <w:sz w:val="24"/>
                <w:szCs w:val="24"/>
              </w:rPr>
              <w:t>供应商综合</w:t>
            </w:r>
            <w:r>
              <w:rPr>
                <w:rFonts w:hint="eastAsia" w:ascii="仿宋" w:hAnsi="仿宋" w:eastAsia="仿宋" w:cs="仿宋"/>
                <w:color w:val="auto"/>
                <w:sz w:val="24"/>
                <w:szCs w:val="24"/>
                <w:lang w:val="en-US" w:eastAsia="zh-CN"/>
              </w:rPr>
              <w:t>报价</w:t>
            </w:r>
            <w:r>
              <w:rPr>
                <w:rFonts w:hint="eastAsia" w:ascii="仿宋" w:hAnsi="仿宋" w:eastAsia="仿宋" w:cs="仿宋"/>
                <w:color w:val="auto"/>
                <w:sz w:val="24"/>
                <w:szCs w:val="24"/>
              </w:rPr>
              <w:t>）×40</w:t>
            </w:r>
          </w:p>
        </w:tc>
      </w:tr>
      <w:tr w14:paraId="29F8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128" w:type="dxa"/>
            <w:gridSpan w:val="3"/>
            <w:vAlign w:val="center"/>
          </w:tcPr>
          <w:p w14:paraId="082ACC00">
            <w:pPr>
              <w:widowControl/>
              <w:spacing w:line="40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总分:100分</w:t>
            </w:r>
          </w:p>
        </w:tc>
      </w:tr>
      <w:bookmarkEnd w:id="20"/>
      <w:bookmarkEnd w:id="21"/>
    </w:tbl>
    <w:p w14:paraId="33C5FEE0">
      <w:pPr>
        <w:pStyle w:val="28"/>
        <w:snapToGrid w:val="0"/>
        <w:spacing w:line="240" w:lineRule="atLeast"/>
        <w:ind w:firstLine="482"/>
        <w:rPr>
          <w:rFonts w:hint="eastAsia" w:ascii="方正仿宋_GB2312" w:hAnsi="方正仿宋_GB2312" w:eastAsia="方正仿宋_GB2312" w:cs="方正仿宋_GB2312"/>
          <w:b/>
          <w:bCs/>
          <w:color w:val="auto"/>
          <w:kern w:val="0"/>
          <w:sz w:val="24"/>
          <w:szCs w:val="24"/>
        </w:rPr>
      </w:pPr>
      <w:bookmarkStart w:id="22" w:name="_Toc3560"/>
      <w:r>
        <w:rPr>
          <w:rFonts w:hint="eastAsia" w:ascii="方正仿宋_GB2312" w:hAnsi="方正仿宋_GB2312" w:eastAsia="方正仿宋_GB2312" w:cs="方正仿宋_GB2312"/>
          <w:b/>
          <w:bCs/>
          <w:color w:val="auto"/>
          <w:kern w:val="0"/>
          <w:sz w:val="24"/>
          <w:szCs w:val="24"/>
        </w:rPr>
        <w:t>1.计分办法</w:t>
      </w:r>
    </w:p>
    <w:p w14:paraId="518F9DA0">
      <w:pPr>
        <w:pStyle w:val="28"/>
        <w:snapToGrid w:val="0"/>
        <w:spacing w:line="240" w:lineRule="atLeast"/>
        <w:ind w:firstLine="480"/>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1.1评审委员会成员按照本办法上述有关规定,给各响应文件评分,确定各供应商的评定分数。</w:t>
      </w:r>
    </w:p>
    <w:p w14:paraId="5A05F230">
      <w:pPr>
        <w:pStyle w:val="28"/>
        <w:snapToGrid w:val="0"/>
        <w:spacing w:line="240" w:lineRule="atLeast"/>
        <w:ind w:firstLine="480"/>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1.2评审委员会发现供应商的报价明显低于其他响应报价，或者在设有招标控制价时明显低于招标控制价，使得其响应报价可能低于其个别成本的，应当要求该供应商作出书面说明并提供相应的证明材料。供应商不能合理说明或者不能提供相应证明材料的，由评审委员会认定该供应商以低于成本报价竞标，否决其投标。</w:t>
      </w:r>
    </w:p>
    <w:p w14:paraId="5178D8B6">
      <w:pPr>
        <w:pStyle w:val="28"/>
        <w:snapToGrid w:val="0"/>
        <w:spacing w:line="240" w:lineRule="atLeast"/>
        <w:ind w:firstLine="480"/>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1.3各供应商投标的最终的评分为各评委所评定商务、技术得分分值之和的算术评均值。</w:t>
      </w:r>
    </w:p>
    <w:p w14:paraId="323E7C43">
      <w:pPr>
        <w:pStyle w:val="28"/>
        <w:snapToGrid w:val="0"/>
        <w:spacing w:line="240" w:lineRule="atLeast"/>
        <w:ind w:firstLine="480"/>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1.4各项统计、评分结果均按四舍五入方法精确到小数点后二位。</w:t>
      </w:r>
    </w:p>
    <w:p w14:paraId="2E0FCE42">
      <w:pPr>
        <w:pStyle w:val="28"/>
        <w:snapToGrid w:val="0"/>
        <w:spacing w:line="240" w:lineRule="atLeast"/>
        <w:ind w:firstLine="480"/>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1.5评审委员会根据各供应商投标的最终评分,按高低次序确定供应商最终的排列名次，并按照采购文件中规定推荐</w:t>
      </w:r>
      <w:r>
        <w:rPr>
          <w:rFonts w:hint="eastAsia" w:ascii="方正仿宋_GB2312" w:hAnsi="方正仿宋_GB2312" w:eastAsia="方正仿宋_GB2312" w:cs="方正仿宋_GB2312"/>
          <w:color w:val="auto"/>
          <w:kern w:val="0"/>
          <w:sz w:val="24"/>
          <w:szCs w:val="24"/>
          <w:lang w:val="en-US" w:eastAsia="zh-CN"/>
        </w:rPr>
        <w:t>成交</w:t>
      </w:r>
      <w:r>
        <w:rPr>
          <w:rFonts w:hint="eastAsia" w:ascii="方正仿宋_GB2312" w:hAnsi="方正仿宋_GB2312" w:eastAsia="方正仿宋_GB2312" w:cs="方正仿宋_GB2312"/>
          <w:color w:val="auto"/>
          <w:kern w:val="0"/>
          <w:sz w:val="24"/>
          <w:szCs w:val="24"/>
        </w:rPr>
        <w:t>候</w:t>
      </w:r>
      <w:r>
        <w:rPr>
          <w:rFonts w:hint="eastAsia" w:ascii="方正仿宋_GB2312" w:hAnsi="方正仿宋_GB2312" w:eastAsia="方正仿宋_GB2312" w:cs="方正仿宋_GB2312"/>
          <w:color w:val="auto"/>
          <w:kern w:val="0"/>
          <w:sz w:val="24"/>
          <w:szCs w:val="24"/>
        </w:rPr>
        <w:t>选人。如果供应商的最终评分相同，则响应报价低的供应商排名优先。</w:t>
      </w:r>
    </w:p>
    <w:p w14:paraId="35DE0FB6">
      <w:pPr>
        <w:pStyle w:val="28"/>
        <w:snapToGrid w:val="0"/>
        <w:spacing w:line="240" w:lineRule="atLeast"/>
        <w:ind w:firstLine="482"/>
        <w:rPr>
          <w:rFonts w:hint="eastAsia" w:ascii="方正仿宋_GB2312" w:hAnsi="方正仿宋_GB2312" w:eastAsia="方正仿宋_GB2312" w:cs="方正仿宋_GB2312"/>
          <w:b/>
          <w:bCs/>
          <w:color w:val="auto"/>
          <w:kern w:val="0"/>
          <w:sz w:val="24"/>
          <w:szCs w:val="24"/>
        </w:rPr>
      </w:pPr>
      <w:r>
        <w:rPr>
          <w:rFonts w:hint="eastAsia" w:ascii="方正仿宋_GB2312" w:hAnsi="方正仿宋_GB2312" w:eastAsia="方正仿宋_GB2312" w:cs="方正仿宋_GB2312"/>
          <w:b/>
          <w:bCs/>
          <w:color w:val="auto"/>
          <w:kern w:val="0"/>
          <w:sz w:val="24"/>
          <w:szCs w:val="24"/>
        </w:rPr>
        <w:t>2.定标原则</w:t>
      </w:r>
    </w:p>
    <w:p w14:paraId="21C2B54F">
      <w:pPr>
        <w:pStyle w:val="28"/>
        <w:snapToGrid w:val="0"/>
        <w:spacing w:line="240" w:lineRule="atLeast"/>
        <w:ind w:firstLine="480"/>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评审委员会根据评分结果按照得分高低，确定</w:t>
      </w:r>
      <w:r>
        <w:rPr>
          <w:rFonts w:hint="eastAsia" w:ascii="方正仿宋_GB2312" w:hAnsi="方正仿宋_GB2312" w:eastAsia="方正仿宋_GB2312" w:cs="方正仿宋_GB2312"/>
          <w:color w:val="auto"/>
          <w:kern w:val="0"/>
          <w:sz w:val="24"/>
          <w:szCs w:val="24"/>
        </w:rPr>
        <w:t>成交候选人</w:t>
      </w:r>
      <w:r>
        <w:rPr>
          <w:rFonts w:hint="eastAsia" w:ascii="方正仿宋_GB2312" w:hAnsi="方正仿宋_GB2312" w:eastAsia="方正仿宋_GB2312" w:cs="方正仿宋_GB2312"/>
          <w:color w:val="auto"/>
          <w:kern w:val="0"/>
          <w:sz w:val="24"/>
          <w:szCs w:val="24"/>
        </w:rPr>
        <w:t>并提交评审报告，采购人依据评审报告和评审委员会推荐的成交候选人，经过采购人公司内部程序后确定成交人。</w:t>
      </w:r>
    </w:p>
    <w:p w14:paraId="2D49F99A">
      <w:pPr>
        <w:pStyle w:val="26"/>
        <w:snapToGrid w:val="0"/>
        <w:spacing w:line="240" w:lineRule="atLeast"/>
        <w:ind w:firstLine="3120" w:firstLineChars="1300"/>
        <w:rPr>
          <w:rFonts w:hint="eastAsia" w:ascii="方正仿宋_GB2312" w:hAnsi="方正仿宋_GB2312" w:eastAsia="方正仿宋_GB2312" w:cs="方正仿宋_GB2312"/>
          <w:color w:val="auto"/>
          <w:sz w:val="24"/>
          <w:szCs w:val="24"/>
          <w:lang w:eastAsia="zh-CN"/>
        </w:rPr>
      </w:pPr>
      <w:r>
        <w:rPr>
          <w:rFonts w:hint="eastAsia" w:ascii="仿宋" w:hAnsi="仿宋" w:eastAsia="仿宋" w:cs="仿宋"/>
          <w:color w:val="auto"/>
          <w:sz w:val="24"/>
          <w:szCs w:val="24"/>
          <w:lang w:eastAsia="zh-CN"/>
        </w:rPr>
        <w:br w:type="page"/>
      </w:r>
      <w:r>
        <w:rPr>
          <w:rFonts w:hint="eastAsia" w:ascii="方正仿宋_GB2312" w:hAnsi="方正仿宋_GB2312" w:eastAsia="方正仿宋_GB2312" w:cs="方正仿宋_GB2312"/>
          <w:b/>
          <w:bCs/>
          <w:color w:val="auto"/>
          <w:sz w:val="24"/>
          <w:szCs w:val="24"/>
          <w:lang w:eastAsia="zh-CN"/>
        </w:rPr>
        <w:t>第三章 磋商程序及步骤</w:t>
      </w:r>
    </w:p>
    <w:p w14:paraId="28977C39">
      <w:pPr>
        <w:snapToGrid w:val="0"/>
        <w:spacing w:line="240" w:lineRule="atLeast"/>
        <w:ind w:firstLine="480" w:firstLineChars="200"/>
        <w:rPr>
          <w:rFonts w:hint="eastAsia" w:ascii="方正仿宋_GB2312" w:hAnsi="方正仿宋_GB2312" w:eastAsia="方正仿宋_GB2312" w:cs="方正仿宋_GB2312"/>
          <w:color w:val="auto"/>
          <w:sz w:val="24"/>
          <w:szCs w:val="24"/>
          <w:lang w:val="zh-CN"/>
        </w:rPr>
      </w:pPr>
      <w:bookmarkStart w:id="23" w:name="_Toc22624"/>
      <w:bookmarkStart w:id="24" w:name="_Toc16943"/>
      <w:r>
        <w:rPr>
          <w:rFonts w:hint="eastAsia" w:ascii="方正仿宋_GB2312" w:hAnsi="方正仿宋_GB2312" w:eastAsia="方正仿宋_GB2312" w:cs="方正仿宋_GB2312"/>
          <w:color w:val="auto"/>
          <w:sz w:val="24"/>
          <w:szCs w:val="24"/>
        </w:rPr>
        <w:t>一、磋商小组</w:t>
      </w:r>
      <w:bookmarkEnd w:id="23"/>
      <w:bookmarkEnd w:id="24"/>
    </w:p>
    <w:p w14:paraId="42311524">
      <w:pPr>
        <w:snapToGrid w:val="0"/>
        <w:spacing w:line="240" w:lineRule="atLeast"/>
        <w:ind w:firstLine="480" w:firstLineChars="200"/>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1. 采购领导小组组建3人或5人以上单数组成磋商小组。</w:t>
      </w:r>
    </w:p>
    <w:p w14:paraId="420587FC">
      <w:pPr>
        <w:snapToGrid w:val="0"/>
        <w:spacing w:line="240" w:lineRule="atLeast"/>
        <w:ind w:firstLine="480" w:firstLineChars="200"/>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2 .磋商小组所有成员按拟定磋商顺序，集中与磋商供应商分别进行磋商，并给予所有参加磋商的供应商平等的磋商机会。</w:t>
      </w:r>
    </w:p>
    <w:p w14:paraId="43E74057">
      <w:pPr>
        <w:snapToGrid w:val="0"/>
        <w:spacing w:line="240" w:lineRule="atLeast"/>
        <w:ind w:firstLine="480" w:firstLineChars="200"/>
        <w:rPr>
          <w:rFonts w:hint="eastAsia" w:ascii="方正仿宋_GB2312" w:hAnsi="方正仿宋_GB2312" w:eastAsia="方正仿宋_GB2312" w:cs="方正仿宋_GB2312"/>
          <w:color w:val="auto"/>
          <w:sz w:val="24"/>
          <w:szCs w:val="24"/>
          <w:lang w:val="zh-CN"/>
        </w:rPr>
      </w:pPr>
      <w:bookmarkStart w:id="25" w:name="_Toc22609"/>
      <w:bookmarkStart w:id="26" w:name="_Toc21483"/>
      <w:r>
        <w:rPr>
          <w:rFonts w:hint="eastAsia" w:ascii="方正仿宋_GB2312" w:hAnsi="方正仿宋_GB2312" w:eastAsia="方正仿宋_GB2312" w:cs="方正仿宋_GB2312"/>
          <w:color w:val="auto"/>
          <w:sz w:val="24"/>
          <w:szCs w:val="24"/>
        </w:rPr>
        <w:t>二、磋商代表</w:t>
      </w:r>
      <w:bookmarkEnd w:id="25"/>
      <w:bookmarkEnd w:id="26"/>
    </w:p>
    <w:p w14:paraId="55BC1C19">
      <w:pPr>
        <w:snapToGrid w:val="0"/>
        <w:spacing w:line="240" w:lineRule="atLeast"/>
        <w:ind w:firstLine="480" w:firstLineChars="200"/>
        <w:rPr>
          <w:rFonts w:hint="eastAsia" w:ascii="方正仿宋_GB2312" w:hAnsi="方正仿宋_GB2312" w:eastAsia="方正仿宋_GB2312" w:cs="方正仿宋_GB2312"/>
          <w:color w:val="auto"/>
          <w:sz w:val="24"/>
          <w:szCs w:val="24"/>
        </w:rPr>
      </w:pPr>
      <w:bookmarkStart w:id="27" w:name="_Toc32662"/>
      <w:bookmarkStart w:id="28" w:name="_Toc9967"/>
      <w:r>
        <w:rPr>
          <w:rFonts w:hint="eastAsia" w:ascii="方正仿宋_GB2312" w:hAnsi="方正仿宋_GB2312" w:eastAsia="方正仿宋_GB2312" w:cs="方正仿宋_GB2312"/>
          <w:color w:val="auto"/>
          <w:sz w:val="24"/>
          <w:szCs w:val="24"/>
        </w:rPr>
        <w:t>磋商供应商法定代表人或授权代表应携带本人身份证明参加磋商，授权代表参加磋商的，还应携带法定代表人授权书原件。磋商代表经磋商小组核对身份后，方可参加磋商。</w:t>
      </w:r>
      <w:bookmarkEnd w:id="27"/>
      <w:bookmarkEnd w:id="28"/>
    </w:p>
    <w:p w14:paraId="55A39D59">
      <w:pPr>
        <w:snapToGrid w:val="0"/>
        <w:spacing w:line="240" w:lineRule="atLeast"/>
        <w:ind w:firstLine="480" w:firstLineChars="200"/>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三、磋商</w:t>
      </w:r>
    </w:p>
    <w:p w14:paraId="66F90023">
      <w:pPr>
        <w:snapToGrid w:val="0"/>
        <w:spacing w:line="240" w:lineRule="atLeast"/>
        <w:ind w:firstLine="480" w:firstLineChars="200"/>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在磋商中，磋商的任何一方不得透露与磋商有关的其他磋商供应商的技术资料、报价和其他信息。</w:t>
      </w:r>
    </w:p>
    <w:p w14:paraId="42AD5B6A">
      <w:pPr>
        <w:snapToGrid w:val="0"/>
        <w:spacing w:line="240" w:lineRule="atLeast"/>
        <w:ind w:firstLine="480" w:firstLineChars="200"/>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1.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以书面形式同时通知所有磋商供应商，并提供必要的修正时间。</w:t>
      </w:r>
    </w:p>
    <w:p w14:paraId="4E950DCC">
      <w:pPr>
        <w:snapToGrid w:val="0"/>
        <w:spacing w:line="240" w:lineRule="atLeast"/>
        <w:ind w:firstLine="480" w:firstLineChars="200"/>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2.供应商应当按照磋商文件的变动情况和磋商小组的要求重新提交响应文件，对原响应文件进行技术、商务、报价修正，重新提交的响应文件应实质性响应本磋商文件及对磋商文件作出的实质性变动，并按本采购文件的规定进行签署。重新提交的响应文件与原响应文件不一致的，以重新提交的响应文件为准。</w:t>
      </w:r>
    </w:p>
    <w:p w14:paraId="72DD9F32">
      <w:pPr>
        <w:snapToGrid w:val="0"/>
        <w:spacing w:line="240" w:lineRule="atLeast"/>
        <w:ind w:firstLine="480" w:firstLineChars="200"/>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四、最后报价</w:t>
      </w:r>
    </w:p>
    <w:p w14:paraId="6BC4CA89">
      <w:pPr>
        <w:snapToGrid w:val="0"/>
        <w:spacing w:line="240" w:lineRule="atLeast"/>
        <w:ind w:firstLine="480" w:firstLineChars="200"/>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采购方将已确定条件的最后报价书发放至所有磋商供应商，要求磋商供应商在指定的时间内提交满足要求的最后报价，密封递交磋商小组。所有磋商供应商递交最后报价后，磋商小组将现场开启、记录记录所有磋商供应商的最终报价，磋商小组作为评审依据。最后报价为本次磋商不可变动的最终报价，最终成交报价将在确定成交供应商后，随成交结果一并公告。</w:t>
      </w:r>
    </w:p>
    <w:p w14:paraId="026220CC">
      <w:pPr>
        <w:snapToGrid w:val="0"/>
        <w:spacing w:line="240" w:lineRule="atLeast"/>
        <w:ind w:firstLine="480" w:firstLineChars="200"/>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磋商文件能够详细列明采购标的的技术、服务要求的，磋商结束后，磋商小组应当要求所有继续参加磋商的供应商在规定时间内提交最后报价。</w:t>
      </w:r>
    </w:p>
    <w:p w14:paraId="12A811BF">
      <w:pPr>
        <w:snapToGrid w:val="0"/>
        <w:spacing w:line="240" w:lineRule="atLeast"/>
        <w:ind w:firstLine="480" w:firstLineChars="200"/>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 xml:space="preserve">磋商文件不能详细列明采购标的的技术、服务要求，需经磋商由供应商提供最终策划方案或解决方案的，磋商结束后，磋商小组应当按照少数服从多数的原则投票推荐3家以上供应商的策划方案或者解决方案，并要求其在规定时间内提交最后报价。 </w:t>
      </w:r>
    </w:p>
    <w:p w14:paraId="5C6DC9E4">
      <w:pPr>
        <w:snapToGrid w:val="0"/>
        <w:spacing w:line="240" w:lineRule="atLeast"/>
        <w:ind w:firstLine="480" w:firstLineChars="200"/>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本采购项目提交最后报价供应商的确定方式详见《供应商须知前附表》。如有需要，磋商小组可进行多轮磋商，直至最终确定磋商采购文件采购需求中的技术、服务要求以及合同草案条款。如磋商采购文件无需修改，可直接要求磋商供应商提交最后报价。 磋商小组审核完最终报价后，根据磋商采购文件规定的评定办法推荐成交候选人或根据采购人的书面授权直接确定成交供应商。采购方对磋商过程和重要磋商内容进行记录，磋商双方在记录上签字确认。</w:t>
      </w:r>
    </w:p>
    <w:p w14:paraId="3F739EDF">
      <w:pPr>
        <w:snapToGrid w:val="0"/>
        <w:spacing w:line="240" w:lineRule="atLeast"/>
        <w:ind w:firstLine="480" w:firstLineChars="200"/>
        <w:rPr>
          <w:rFonts w:hint="eastAsia" w:ascii="方正仿宋_GB2312" w:hAnsi="方正仿宋_GB2312" w:eastAsia="方正仿宋_GB2312" w:cs="方正仿宋_GB2312"/>
          <w:color w:val="auto"/>
          <w:sz w:val="24"/>
          <w:szCs w:val="24"/>
          <w:lang w:val="zh-CN"/>
        </w:rPr>
      </w:pPr>
      <w:r>
        <w:rPr>
          <w:rFonts w:hint="eastAsia" w:ascii="方正仿宋_GB2312" w:hAnsi="方正仿宋_GB2312" w:eastAsia="方正仿宋_GB2312" w:cs="方正仿宋_GB2312"/>
          <w:color w:val="auto"/>
          <w:sz w:val="24"/>
          <w:szCs w:val="24"/>
        </w:rPr>
        <w:t>五、</w:t>
      </w:r>
      <w:r>
        <w:rPr>
          <w:rFonts w:hint="eastAsia" w:ascii="方正仿宋_GB2312" w:hAnsi="方正仿宋_GB2312" w:eastAsia="方正仿宋_GB2312" w:cs="方正仿宋_GB2312"/>
          <w:color w:val="auto"/>
          <w:sz w:val="24"/>
          <w:szCs w:val="24"/>
          <w:lang w:val="zh-CN"/>
        </w:rPr>
        <w:t>保密</w:t>
      </w:r>
    </w:p>
    <w:p w14:paraId="2B53646D">
      <w:pPr>
        <w:snapToGrid w:val="0"/>
        <w:spacing w:line="240" w:lineRule="atLeast"/>
        <w:ind w:firstLine="480" w:firstLineChars="200"/>
        <w:rPr>
          <w:rFonts w:hint="eastAsia" w:ascii="方正仿宋_GB2312" w:hAnsi="方正仿宋_GB2312" w:eastAsia="方正仿宋_GB2312" w:cs="方正仿宋_GB2312"/>
          <w:bCs/>
          <w:color w:val="auto"/>
          <w:sz w:val="24"/>
          <w:szCs w:val="24"/>
        </w:rPr>
      </w:pPr>
      <w:r>
        <w:rPr>
          <w:rFonts w:hint="eastAsia" w:ascii="方正仿宋_GB2312" w:hAnsi="方正仿宋_GB2312" w:eastAsia="方正仿宋_GB2312" w:cs="方正仿宋_GB2312"/>
          <w:color w:val="auto"/>
          <w:sz w:val="24"/>
          <w:szCs w:val="24"/>
          <w:lang w:val="zh-CN"/>
        </w:rPr>
        <w:t>凡是属于审查、澄清、评价和比较的有关资料以及授标意向等，采购人、采购方、监管人员、</w:t>
      </w:r>
      <w:r>
        <w:rPr>
          <w:rFonts w:hint="eastAsia" w:ascii="方正仿宋_GB2312" w:hAnsi="方正仿宋_GB2312" w:eastAsia="方正仿宋_GB2312" w:cs="方正仿宋_GB2312"/>
          <w:color w:val="auto"/>
          <w:sz w:val="24"/>
          <w:szCs w:val="24"/>
        </w:rPr>
        <w:t>磋商小组</w:t>
      </w:r>
      <w:r>
        <w:rPr>
          <w:rFonts w:hint="eastAsia" w:ascii="方正仿宋_GB2312" w:hAnsi="方正仿宋_GB2312" w:eastAsia="方正仿宋_GB2312" w:cs="方正仿宋_GB2312"/>
          <w:color w:val="auto"/>
          <w:sz w:val="24"/>
          <w:szCs w:val="24"/>
          <w:lang w:val="zh-CN"/>
        </w:rPr>
        <w:t>及有关工作人员均不得向供应商或其它无关的人员透露。</w:t>
      </w:r>
    </w:p>
    <w:p w14:paraId="62D06FFD">
      <w:pPr>
        <w:spacing w:after="120" w:line="360" w:lineRule="auto"/>
        <w:ind w:firstLine="480" w:firstLineChars="200"/>
        <w:rPr>
          <w:rFonts w:hint="eastAsia" w:ascii="仿宋" w:hAnsi="仿宋" w:eastAsia="仿宋" w:cs="仿宋"/>
          <w:color w:val="auto"/>
          <w:sz w:val="24"/>
          <w:szCs w:val="24"/>
        </w:rPr>
      </w:pPr>
    </w:p>
    <w:bookmarkEnd w:id="22"/>
    <w:p w14:paraId="5C6AE499">
      <w:pPr>
        <w:adjustRightInd w:val="0"/>
        <w:spacing w:before="240" w:after="240"/>
        <w:jc w:val="center"/>
        <w:outlineLvl w:val="0"/>
        <w:rPr>
          <w:rFonts w:hint="eastAsia" w:ascii="仿宋" w:hAnsi="仿宋" w:eastAsia="仿宋" w:cs="仿宋"/>
          <w:b/>
          <w:bCs/>
          <w:color w:val="auto"/>
          <w:kern w:val="44"/>
          <w:sz w:val="24"/>
          <w:szCs w:val="24"/>
        </w:rPr>
      </w:pPr>
      <w:r>
        <w:rPr>
          <w:rFonts w:hint="eastAsia" w:ascii="仿宋" w:hAnsi="仿宋" w:eastAsia="仿宋" w:cs="仿宋"/>
          <w:b/>
          <w:bCs/>
          <w:color w:val="auto"/>
          <w:kern w:val="44"/>
          <w:sz w:val="24"/>
          <w:szCs w:val="24"/>
        </w:rPr>
        <w:t>第四章 响应文件格式及要求</w:t>
      </w:r>
    </w:p>
    <w:p w14:paraId="7CC792F3">
      <w:pPr>
        <w:numPr>
          <w:ilvl w:val="0"/>
          <w:numId w:val="5"/>
        </w:numPr>
        <w:adjustRightInd w:val="0"/>
        <w:spacing w:before="100" w:after="100" w:line="300" w:lineRule="auto"/>
        <w:ind w:firstLineChars="200"/>
        <w:rPr>
          <w:rFonts w:hint="eastAsia" w:ascii="仿宋" w:hAnsi="仿宋" w:eastAsia="仿宋" w:cs="仿宋"/>
          <w:color w:val="auto"/>
          <w:kern w:val="2"/>
          <w:sz w:val="24"/>
          <w:szCs w:val="24"/>
        </w:rPr>
      </w:pPr>
      <w:bookmarkStart w:id="29" w:name="_Toc477032419"/>
      <w:bookmarkStart w:id="30" w:name="_Toc432149008"/>
      <w:bookmarkStart w:id="31" w:name="_Toc360120184"/>
      <w:bookmarkStart w:id="32" w:name="_Toc477626008"/>
      <w:bookmarkStart w:id="33" w:name="_Toc23635"/>
      <w:bookmarkStart w:id="34" w:name="_Toc477626007"/>
      <w:bookmarkStart w:id="35" w:name="_Toc470172708"/>
      <w:bookmarkStart w:id="36" w:name="_Toc424832832"/>
      <w:bookmarkStart w:id="37" w:name="_Toc470172709"/>
      <w:bookmarkStart w:id="38" w:name="_Toc477032420"/>
      <w:r>
        <w:rPr>
          <w:rFonts w:hint="eastAsia" w:ascii="仿宋" w:hAnsi="仿宋" w:eastAsia="仿宋" w:cs="仿宋"/>
          <w:color w:val="auto"/>
          <w:kern w:val="2"/>
          <w:sz w:val="24"/>
          <w:szCs w:val="24"/>
        </w:rPr>
        <w:t>报价（按附件格式）；</w:t>
      </w:r>
    </w:p>
    <w:p w14:paraId="5D82BB1F">
      <w:pPr>
        <w:numPr>
          <w:ilvl w:val="0"/>
          <w:numId w:val="5"/>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公司营业执照扫描件、企业资质、开户许可证等；</w:t>
      </w:r>
    </w:p>
    <w:p w14:paraId="684DB4EF">
      <w:pPr>
        <w:numPr>
          <w:ilvl w:val="0"/>
          <w:numId w:val="5"/>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授权委托书；</w:t>
      </w:r>
    </w:p>
    <w:p w14:paraId="41E00871">
      <w:pPr>
        <w:numPr>
          <w:ilvl w:val="0"/>
          <w:numId w:val="5"/>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参加本次磋商活动前三年的业绩资料；</w:t>
      </w:r>
    </w:p>
    <w:p w14:paraId="7CBB8F68">
      <w:pPr>
        <w:numPr>
          <w:ilvl w:val="0"/>
          <w:numId w:val="5"/>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此函中要求供应商作出的承诺书；（以上资料请加盖公司章密封送至我处，作为选评依据）</w:t>
      </w:r>
    </w:p>
    <w:p w14:paraId="2DD778A5">
      <w:pPr>
        <w:numPr>
          <w:ilvl w:val="0"/>
          <w:numId w:val="5"/>
        </w:numPr>
        <w:adjustRightInd w:val="0"/>
        <w:spacing w:before="100" w:after="100" w:line="300" w:lineRule="auto"/>
        <w:ind w:firstLineChars="20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“供应商资格要求”中第（五）条声明和网站查询截图。</w:t>
      </w:r>
    </w:p>
    <w:p w14:paraId="7C81C196">
      <w:pPr>
        <w:snapToGrid w:val="0"/>
        <w:spacing w:line="240" w:lineRule="atLeast"/>
        <w:ind w:firstLine="560"/>
        <w:jc w:val="right"/>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湖北楚安实业发展有限公司</w:t>
      </w:r>
    </w:p>
    <w:p w14:paraId="53FA160D">
      <w:pPr>
        <w:snapToGrid w:val="0"/>
        <w:spacing w:line="240" w:lineRule="atLeast"/>
        <w:ind w:firstLine="7348" w:firstLineChars="3062"/>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2026年</w:t>
      </w:r>
      <w:r>
        <w:rPr>
          <w:rFonts w:hint="eastAsia" w:ascii="仿宋" w:hAnsi="仿宋" w:eastAsia="仿宋" w:cs="仿宋"/>
          <w:color w:val="auto"/>
          <w:kern w:val="2"/>
          <w:sz w:val="24"/>
          <w:szCs w:val="24"/>
          <w:lang w:val="en-US" w:eastAsia="zh-CN"/>
        </w:rPr>
        <w:t>7</w:t>
      </w:r>
      <w:r>
        <w:rPr>
          <w:rFonts w:hint="eastAsia" w:ascii="仿宋" w:hAnsi="仿宋" w:eastAsia="仿宋" w:cs="仿宋"/>
          <w:color w:val="auto"/>
          <w:kern w:val="2"/>
          <w:sz w:val="24"/>
          <w:szCs w:val="24"/>
        </w:rPr>
        <w:t>月</w:t>
      </w:r>
      <w:r>
        <w:rPr>
          <w:rFonts w:hint="eastAsia" w:ascii="仿宋" w:hAnsi="仿宋" w:eastAsia="仿宋" w:cs="仿宋"/>
          <w:color w:val="auto"/>
          <w:kern w:val="2"/>
          <w:sz w:val="24"/>
          <w:szCs w:val="24"/>
          <w:lang w:val="en-US" w:eastAsia="zh-CN"/>
        </w:rPr>
        <w:t>29</w:t>
      </w:r>
      <w:r>
        <w:rPr>
          <w:rFonts w:hint="eastAsia" w:ascii="仿宋" w:hAnsi="仿宋" w:eastAsia="仿宋" w:cs="仿宋"/>
          <w:color w:val="auto"/>
          <w:kern w:val="2"/>
          <w:sz w:val="24"/>
          <w:szCs w:val="24"/>
        </w:rPr>
        <w:t>日</w:t>
      </w:r>
    </w:p>
    <w:p w14:paraId="1F35E7C7">
      <w:pPr>
        <w:snapToGrid w:val="0"/>
        <w:spacing w:line="240" w:lineRule="atLeast"/>
        <w:ind w:firstLine="7108" w:firstLineChars="2962"/>
        <w:rPr>
          <w:rFonts w:hint="eastAsia" w:ascii="仿宋" w:hAnsi="仿宋" w:eastAsia="仿宋" w:cs="仿宋"/>
          <w:color w:val="auto"/>
          <w:kern w:val="2"/>
          <w:sz w:val="24"/>
          <w:szCs w:val="24"/>
        </w:rPr>
      </w:pPr>
    </w:p>
    <w:p w14:paraId="2E9AE143">
      <w:pPr>
        <w:snapToGrid w:val="0"/>
        <w:spacing w:line="240" w:lineRule="atLeast"/>
        <w:ind w:firstLine="7108" w:firstLineChars="2962"/>
        <w:rPr>
          <w:rFonts w:hint="eastAsia" w:ascii="仿宋" w:hAnsi="仿宋" w:eastAsia="仿宋" w:cs="仿宋"/>
          <w:color w:val="auto"/>
          <w:kern w:val="2"/>
          <w:sz w:val="24"/>
          <w:szCs w:val="24"/>
        </w:rPr>
      </w:pPr>
    </w:p>
    <w:p w14:paraId="13A60576">
      <w:pPr>
        <w:snapToGrid w:val="0"/>
        <w:spacing w:line="240" w:lineRule="atLeast"/>
        <w:ind w:firstLine="7108" w:firstLineChars="2962"/>
        <w:rPr>
          <w:rFonts w:hint="eastAsia" w:ascii="仿宋" w:hAnsi="仿宋" w:eastAsia="仿宋" w:cs="仿宋"/>
          <w:color w:val="auto"/>
          <w:kern w:val="2"/>
          <w:sz w:val="24"/>
          <w:szCs w:val="24"/>
        </w:rPr>
      </w:pPr>
    </w:p>
    <w:p w14:paraId="71BE83A4">
      <w:pPr>
        <w:snapToGrid w:val="0"/>
        <w:spacing w:line="240" w:lineRule="atLeast"/>
        <w:ind w:firstLine="7108" w:firstLineChars="2962"/>
        <w:rPr>
          <w:rFonts w:hint="eastAsia" w:ascii="仿宋" w:hAnsi="仿宋" w:eastAsia="仿宋" w:cs="仿宋"/>
          <w:color w:val="auto"/>
          <w:kern w:val="2"/>
          <w:sz w:val="24"/>
          <w:szCs w:val="24"/>
        </w:rPr>
      </w:pPr>
    </w:p>
    <w:p w14:paraId="777DAA7F">
      <w:pPr>
        <w:snapToGrid w:val="0"/>
        <w:spacing w:line="240" w:lineRule="atLeast"/>
        <w:ind w:firstLine="7108" w:firstLineChars="2962"/>
        <w:rPr>
          <w:rFonts w:hint="eastAsia" w:ascii="仿宋" w:hAnsi="仿宋" w:eastAsia="仿宋" w:cs="仿宋"/>
          <w:color w:val="auto"/>
          <w:kern w:val="2"/>
          <w:sz w:val="24"/>
          <w:szCs w:val="24"/>
        </w:rPr>
      </w:pPr>
    </w:p>
    <w:p w14:paraId="7CE40533">
      <w:pPr>
        <w:snapToGrid w:val="0"/>
        <w:spacing w:line="240" w:lineRule="atLeast"/>
        <w:ind w:firstLine="7108" w:firstLineChars="2962"/>
        <w:rPr>
          <w:rFonts w:hint="eastAsia" w:ascii="仿宋" w:hAnsi="仿宋" w:eastAsia="仿宋" w:cs="仿宋"/>
          <w:color w:val="auto"/>
          <w:kern w:val="2"/>
          <w:sz w:val="24"/>
          <w:szCs w:val="24"/>
        </w:rPr>
      </w:pPr>
    </w:p>
    <w:p w14:paraId="5E5BD76F">
      <w:pPr>
        <w:snapToGrid w:val="0"/>
        <w:spacing w:line="240" w:lineRule="atLeast"/>
        <w:ind w:firstLine="7108" w:firstLineChars="2962"/>
        <w:rPr>
          <w:rFonts w:hint="eastAsia" w:ascii="仿宋" w:hAnsi="仿宋" w:eastAsia="仿宋" w:cs="仿宋"/>
          <w:color w:val="auto"/>
          <w:kern w:val="2"/>
          <w:sz w:val="24"/>
          <w:szCs w:val="24"/>
        </w:rPr>
      </w:pPr>
    </w:p>
    <w:p w14:paraId="3072D811">
      <w:pPr>
        <w:snapToGrid w:val="0"/>
        <w:spacing w:line="240" w:lineRule="atLeast"/>
        <w:ind w:firstLine="7108" w:firstLineChars="2962"/>
        <w:rPr>
          <w:rFonts w:hint="eastAsia" w:ascii="仿宋" w:hAnsi="仿宋" w:eastAsia="仿宋" w:cs="仿宋"/>
          <w:color w:val="auto"/>
          <w:kern w:val="2"/>
          <w:sz w:val="24"/>
          <w:szCs w:val="24"/>
        </w:rPr>
      </w:pPr>
    </w:p>
    <w:p w14:paraId="7DC3654B">
      <w:pPr>
        <w:snapToGrid w:val="0"/>
        <w:spacing w:line="240" w:lineRule="atLeast"/>
        <w:ind w:firstLine="7108" w:firstLineChars="2962"/>
        <w:rPr>
          <w:rFonts w:hint="eastAsia" w:ascii="仿宋" w:hAnsi="仿宋" w:eastAsia="仿宋" w:cs="仿宋"/>
          <w:color w:val="auto"/>
          <w:kern w:val="2"/>
          <w:sz w:val="24"/>
          <w:szCs w:val="24"/>
        </w:rPr>
      </w:pPr>
    </w:p>
    <w:p w14:paraId="41DD4CF6">
      <w:pPr>
        <w:snapToGrid w:val="0"/>
        <w:spacing w:line="240" w:lineRule="atLeast"/>
        <w:ind w:firstLine="7108" w:firstLineChars="2962"/>
        <w:rPr>
          <w:rFonts w:hint="eastAsia" w:ascii="仿宋" w:hAnsi="仿宋" w:eastAsia="仿宋" w:cs="仿宋"/>
          <w:color w:val="auto"/>
          <w:kern w:val="2"/>
          <w:sz w:val="24"/>
          <w:szCs w:val="24"/>
        </w:rPr>
      </w:pPr>
    </w:p>
    <w:p w14:paraId="3339DBEA">
      <w:pPr>
        <w:snapToGrid w:val="0"/>
        <w:spacing w:line="240" w:lineRule="atLeast"/>
        <w:ind w:firstLine="7108" w:firstLineChars="2962"/>
        <w:rPr>
          <w:rFonts w:hint="eastAsia" w:ascii="仿宋" w:hAnsi="仿宋" w:eastAsia="仿宋" w:cs="仿宋"/>
          <w:color w:val="auto"/>
          <w:kern w:val="2"/>
          <w:sz w:val="24"/>
          <w:szCs w:val="24"/>
        </w:rPr>
      </w:pPr>
    </w:p>
    <w:p w14:paraId="6FBFC517">
      <w:pPr>
        <w:snapToGrid w:val="0"/>
        <w:spacing w:line="240" w:lineRule="atLeast"/>
        <w:ind w:firstLine="7108" w:firstLineChars="2962"/>
        <w:rPr>
          <w:rFonts w:hint="eastAsia" w:ascii="仿宋" w:hAnsi="仿宋" w:eastAsia="仿宋" w:cs="仿宋"/>
          <w:color w:val="auto"/>
          <w:kern w:val="2"/>
          <w:sz w:val="24"/>
          <w:szCs w:val="24"/>
        </w:rPr>
      </w:pPr>
    </w:p>
    <w:p w14:paraId="30C1E232">
      <w:pPr>
        <w:snapToGrid w:val="0"/>
        <w:spacing w:line="240" w:lineRule="atLeast"/>
        <w:ind w:firstLine="7108" w:firstLineChars="2962"/>
        <w:rPr>
          <w:rFonts w:hint="eastAsia" w:ascii="仿宋" w:hAnsi="仿宋" w:eastAsia="仿宋" w:cs="仿宋"/>
          <w:color w:val="auto"/>
          <w:kern w:val="2"/>
          <w:sz w:val="24"/>
          <w:szCs w:val="24"/>
        </w:rPr>
      </w:pPr>
    </w:p>
    <w:p w14:paraId="17520B9D">
      <w:pPr>
        <w:snapToGrid w:val="0"/>
        <w:spacing w:line="240" w:lineRule="atLeast"/>
        <w:ind w:firstLine="7108" w:firstLineChars="2962"/>
        <w:rPr>
          <w:rFonts w:hint="eastAsia" w:ascii="仿宋" w:hAnsi="仿宋" w:eastAsia="仿宋" w:cs="仿宋"/>
          <w:color w:val="auto"/>
          <w:kern w:val="2"/>
          <w:sz w:val="24"/>
          <w:szCs w:val="24"/>
        </w:rPr>
      </w:pPr>
    </w:p>
    <w:p w14:paraId="687E5A62">
      <w:pPr>
        <w:snapToGrid w:val="0"/>
        <w:spacing w:line="240" w:lineRule="atLeast"/>
        <w:ind w:firstLine="7108" w:firstLineChars="2962"/>
        <w:rPr>
          <w:rFonts w:hint="eastAsia" w:ascii="仿宋" w:hAnsi="仿宋" w:eastAsia="仿宋" w:cs="仿宋"/>
          <w:color w:val="auto"/>
          <w:kern w:val="2"/>
          <w:sz w:val="24"/>
          <w:szCs w:val="24"/>
        </w:rPr>
      </w:pPr>
    </w:p>
    <w:p w14:paraId="1446A189">
      <w:pPr>
        <w:snapToGrid w:val="0"/>
        <w:spacing w:line="240" w:lineRule="atLeast"/>
        <w:ind w:firstLine="7108" w:firstLineChars="2962"/>
        <w:rPr>
          <w:rFonts w:hint="eastAsia" w:ascii="仿宋" w:hAnsi="仿宋" w:eastAsia="仿宋" w:cs="仿宋"/>
          <w:color w:val="auto"/>
          <w:kern w:val="2"/>
          <w:sz w:val="24"/>
          <w:szCs w:val="24"/>
        </w:rPr>
      </w:pPr>
    </w:p>
    <w:p w14:paraId="62590973">
      <w:pPr>
        <w:snapToGrid w:val="0"/>
        <w:spacing w:line="240" w:lineRule="atLeast"/>
        <w:ind w:firstLine="7108" w:firstLineChars="2962"/>
        <w:rPr>
          <w:rFonts w:hint="eastAsia" w:ascii="仿宋" w:hAnsi="仿宋" w:eastAsia="仿宋" w:cs="仿宋"/>
          <w:color w:val="auto"/>
          <w:kern w:val="2"/>
          <w:sz w:val="24"/>
          <w:szCs w:val="24"/>
        </w:rPr>
      </w:pPr>
    </w:p>
    <w:p w14:paraId="560039A7">
      <w:pPr>
        <w:snapToGrid w:val="0"/>
        <w:spacing w:line="240" w:lineRule="atLeast"/>
        <w:ind w:firstLine="7108" w:firstLineChars="2962"/>
        <w:rPr>
          <w:rFonts w:hint="eastAsia" w:ascii="仿宋" w:hAnsi="仿宋" w:eastAsia="仿宋" w:cs="仿宋"/>
          <w:color w:val="auto"/>
          <w:kern w:val="2"/>
          <w:sz w:val="24"/>
          <w:szCs w:val="24"/>
        </w:rPr>
      </w:pPr>
    </w:p>
    <w:p w14:paraId="3A646104">
      <w:pPr>
        <w:snapToGrid w:val="0"/>
        <w:spacing w:line="240" w:lineRule="atLeast"/>
        <w:ind w:firstLine="7108" w:firstLineChars="2962"/>
        <w:rPr>
          <w:rFonts w:hint="eastAsia" w:ascii="仿宋" w:hAnsi="仿宋" w:eastAsia="仿宋" w:cs="仿宋"/>
          <w:color w:val="auto"/>
          <w:kern w:val="2"/>
          <w:sz w:val="24"/>
          <w:szCs w:val="24"/>
        </w:rPr>
      </w:pPr>
    </w:p>
    <w:p w14:paraId="77F9A809">
      <w:pPr>
        <w:snapToGrid w:val="0"/>
        <w:spacing w:line="240" w:lineRule="atLeast"/>
        <w:ind w:firstLine="7108" w:firstLineChars="2962"/>
        <w:rPr>
          <w:rFonts w:hint="eastAsia" w:ascii="仿宋" w:hAnsi="仿宋" w:eastAsia="仿宋" w:cs="仿宋"/>
          <w:color w:val="auto"/>
          <w:kern w:val="2"/>
          <w:sz w:val="24"/>
          <w:szCs w:val="24"/>
        </w:rPr>
      </w:pPr>
    </w:p>
    <w:p w14:paraId="15FA0F9C">
      <w:pPr>
        <w:snapToGrid w:val="0"/>
        <w:spacing w:line="240" w:lineRule="atLeast"/>
        <w:ind w:firstLine="7108" w:firstLineChars="2962"/>
        <w:rPr>
          <w:rFonts w:hint="eastAsia" w:ascii="仿宋" w:hAnsi="仿宋" w:eastAsia="仿宋" w:cs="仿宋"/>
          <w:color w:val="auto"/>
          <w:kern w:val="2"/>
          <w:sz w:val="24"/>
          <w:szCs w:val="24"/>
        </w:rPr>
      </w:pPr>
    </w:p>
    <w:p w14:paraId="1C8E641E">
      <w:pPr>
        <w:snapToGrid w:val="0"/>
        <w:spacing w:line="240" w:lineRule="atLeast"/>
        <w:ind w:firstLine="7108" w:firstLineChars="2962"/>
        <w:rPr>
          <w:rFonts w:hint="eastAsia" w:ascii="仿宋" w:hAnsi="仿宋" w:eastAsia="仿宋" w:cs="仿宋"/>
          <w:color w:val="auto"/>
          <w:kern w:val="2"/>
          <w:sz w:val="24"/>
          <w:szCs w:val="24"/>
        </w:rPr>
      </w:pPr>
    </w:p>
    <w:p w14:paraId="5FC1DB71">
      <w:pPr>
        <w:snapToGrid w:val="0"/>
        <w:spacing w:line="240" w:lineRule="atLeast"/>
        <w:ind w:firstLine="7108" w:firstLineChars="2962"/>
        <w:rPr>
          <w:rFonts w:hint="eastAsia" w:ascii="仿宋" w:hAnsi="仿宋" w:eastAsia="仿宋" w:cs="仿宋"/>
          <w:color w:val="auto"/>
          <w:kern w:val="2"/>
          <w:sz w:val="24"/>
          <w:szCs w:val="24"/>
        </w:rPr>
      </w:pPr>
    </w:p>
    <w:p w14:paraId="464A161B">
      <w:pPr>
        <w:snapToGrid w:val="0"/>
        <w:spacing w:line="240" w:lineRule="atLeast"/>
        <w:ind w:firstLine="7108" w:firstLineChars="2962"/>
        <w:rPr>
          <w:rFonts w:hint="eastAsia" w:ascii="仿宋" w:hAnsi="仿宋" w:eastAsia="仿宋" w:cs="仿宋"/>
          <w:color w:val="auto"/>
          <w:kern w:val="2"/>
          <w:sz w:val="24"/>
          <w:szCs w:val="24"/>
        </w:rPr>
      </w:pPr>
    </w:p>
    <w:p w14:paraId="0974E2FA">
      <w:pPr>
        <w:snapToGrid w:val="0"/>
        <w:spacing w:line="240" w:lineRule="atLeast"/>
        <w:ind w:firstLine="7108" w:firstLineChars="2962"/>
        <w:rPr>
          <w:rFonts w:hint="eastAsia" w:ascii="仿宋" w:hAnsi="仿宋" w:eastAsia="仿宋" w:cs="仿宋"/>
          <w:color w:val="auto"/>
          <w:kern w:val="2"/>
          <w:sz w:val="24"/>
          <w:szCs w:val="24"/>
        </w:rPr>
      </w:pPr>
    </w:p>
    <w:p w14:paraId="2CF2D96C">
      <w:pPr>
        <w:snapToGrid w:val="0"/>
        <w:spacing w:line="240" w:lineRule="atLeast"/>
        <w:ind w:firstLine="7108" w:firstLineChars="2962"/>
        <w:rPr>
          <w:rFonts w:hint="eastAsia" w:ascii="仿宋" w:hAnsi="仿宋" w:eastAsia="仿宋" w:cs="仿宋"/>
          <w:color w:val="auto"/>
          <w:kern w:val="2"/>
          <w:sz w:val="24"/>
          <w:szCs w:val="24"/>
        </w:rPr>
      </w:pPr>
    </w:p>
    <w:p w14:paraId="605D6D7F">
      <w:pPr>
        <w:snapToGrid w:val="0"/>
        <w:spacing w:line="240" w:lineRule="atLeast"/>
        <w:ind w:firstLine="7108" w:firstLineChars="2962"/>
        <w:rPr>
          <w:rFonts w:hint="eastAsia" w:ascii="仿宋" w:hAnsi="仿宋" w:eastAsia="仿宋" w:cs="仿宋"/>
          <w:color w:val="auto"/>
          <w:kern w:val="2"/>
          <w:sz w:val="24"/>
          <w:szCs w:val="24"/>
        </w:rPr>
      </w:pPr>
    </w:p>
    <w:p w14:paraId="24D2A91F">
      <w:pPr>
        <w:snapToGrid w:val="0"/>
        <w:spacing w:line="240" w:lineRule="atLeast"/>
        <w:ind w:firstLine="7108" w:firstLineChars="2962"/>
        <w:rPr>
          <w:rFonts w:hint="eastAsia" w:ascii="仿宋" w:hAnsi="仿宋" w:eastAsia="仿宋" w:cs="仿宋"/>
          <w:color w:val="auto"/>
          <w:kern w:val="2"/>
          <w:sz w:val="24"/>
          <w:szCs w:val="24"/>
        </w:rPr>
      </w:pPr>
    </w:p>
    <w:p w14:paraId="10679F6A">
      <w:pPr>
        <w:snapToGrid w:val="0"/>
        <w:spacing w:line="240" w:lineRule="atLeast"/>
        <w:ind w:firstLine="7108" w:firstLineChars="2962"/>
        <w:rPr>
          <w:rFonts w:hint="eastAsia" w:ascii="仿宋" w:hAnsi="仿宋" w:eastAsia="仿宋" w:cs="仿宋"/>
          <w:color w:val="auto"/>
          <w:kern w:val="2"/>
          <w:sz w:val="24"/>
          <w:szCs w:val="24"/>
        </w:rPr>
      </w:pPr>
    </w:p>
    <w:p w14:paraId="189AE139">
      <w:pPr>
        <w:snapToGrid w:val="0"/>
        <w:spacing w:line="240" w:lineRule="atLeast"/>
        <w:ind w:firstLine="7108" w:firstLineChars="2962"/>
        <w:rPr>
          <w:rFonts w:hint="eastAsia" w:ascii="仿宋" w:hAnsi="仿宋" w:eastAsia="仿宋" w:cs="仿宋"/>
          <w:color w:val="auto"/>
          <w:kern w:val="2"/>
          <w:sz w:val="24"/>
          <w:szCs w:val="24"/>
        </w:rPr>
      </w:pPr>
    </w:p>
    <w:p w14:paraId="23860840">
      <w:pPr>
        <w:snapToGrid w:val="0"/>
        <w:spacing w:after="120" w:line="360" w:lineRule="auto"/>
        <w:rPr>
          <w:rFonts w:hint="eastAsia" w:ascii="仿宋" w:hAnsi="仿宋" w:eastAsia="仿宋" w:cs="仿宋"/>
          <w:b/>
          <w:color w:val="auto"/>
          <w:kern w:val="2"/>
          <w:sz w:val="24"/>
          <w:szCs w:val="24"/>
        </w:rPr>
      </w:pPr>
      <w:r>
        <w:rPr>
          <w:rFonts w:hint="eastAsia" w:ascii="仿宋" w:hAnsi="仿宋" w:eastAsia="仿宋" w:cs="仿宋"/>
          <w:b/>
          <w:color w:val="auto"/>
          <w:kern w:val="2"/>
          <w:sz w:val="24"/>
          <w:szCs w:val="24"/>
        </w:rPr>
        <w:t>附件1</w:t>
      </w:r>
    </w:p>
    <w:bookmarkEnd w:id="29"/>
    <w:bookmarkEnd w:id="30"/>
    <w:bookmarkEnd w:id="31"/>
    <w:bookmarkEnd w:id="32"/>
    <w:bookmarkEnd w:id="33"/>
    <w:bookmarkEnd w:id="34"/>
    <w:bookmarkEnd w:id="35"/>
    <w:bookmarkEnd w:id="36"/>
    <w:bookmarkEnd w:id="37"/>
    <w:bookmarkEnd w:id="38"/>
    <w:p w14:paraId="3A4796DC">
      <w:pPr>
        <w:pStyle w:val="3"/>
        <w:spacing w:before="156" w:beforeLines="50" w:after="156" w:afterLines="50"/>
        <w:ind w:firstLine="482" w:firstLineChars="200"/>
        <w:jc w:val="center"/>
        <w:rPr>
          <w:rFonts w:hint="eastAsia" w:ascii="仿宋" w:hAnsi="仿宋" w:eastAsia="仿宋" w:cs="仿宋"/>
          <w:b/>
          <w:color w:val="auto"/>
          <w:sz w:val="24"/>
          <w:szCs w:val="24"/>
        </w:rPr>
      </w:pPr>
      <w:bookmarkStart w:id="39" w:name="_Toc470172710"/>
      <w:bookmarkStart w:id="40" w:name="_Toc25786"/>
      <w:bookmarkStart w:id="41" w:name="_Toc477283135"/>
      <w:r>
        <w:rPr>
          <w:rFonts w:hint="eastAsia" w:ascii="仿宋" w:hAnsi="仿宋" w:eastAsia="仿宋" w:cs="仿宋"/>
          <w:b/>
          <w:color w:val="auto"/>
          <w:sz w:val="24"/>
          <w:szCs w:val="24"/>
        </w:rPr>
        <w:t>一、法定代表人身份证明书</w:t>
      </w:r>
    </w:p>
    <w:p w14:paraId="5AD9AC8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兹证明</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（姓名）在我单位任</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职务，系</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（供应商）的法定代表人。</w:t>
      </w:r>
    </w:p>
    <w:p w14:paraId="6B373B9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供应商（盖章）：</w:t>
      </w:r>
      <w:r>
        <w:rPr>
          <w:rFonts w:hint="eastAsia" w:ascii="仿宋" w:hAnsi="仿宋" w:eastAsia="仿宋" w:cs="仿宋"/>
          <w:color w:val="auto"/>
          <w:sz w:val="24"/>
          <w:szCs w:val="24"/>
          <w:u w:val="single"/>
        </w:rPr>
        <w:t xml:space="preserve">                             </w:t>
      </w:r>
    </w:p>
    <w:p w14:paraId="0DFB0CB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法定代表人（签章）：</w:t>
      </w:r>
      <w:r>
        <w:rPr>
          <w:rFonts w:hint="eastAsia" w:ascii="仿宋" w:hAnsi="仿宋" w:eastAsia="仿宋" w:cs="仿宋"/>
          <w:color w:val="auto"/>
          <w:sz w:val="24"/>
          <w:szCs w:val="24"/>
          <w:u w:val="single"/>
        </w:rPr>
        <w:t xml:space="preserve">                         </w:t>
      </w:r>
    </w:p>
    <w:p w14:paraId="7FC9AA2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性别：</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年龄：</w:t>
      </w:r>
      <w:r>
        <w:rPr>
          <w:rFonts w:hint="eastAsia" w:ascii="仿宋" w:hAnsi="仿宋" w:eastAsia="仿宋" w:cs="仿宋"/>
          <w:color w:val="auto"/>
          <w:sz w:val="24"/>
          <w:szCs w:val="24"/>
          <w:u w:val="single"/>
        </w:rPr>
        <w:t xml:space="preserve">        </w:t>
      </w:r>
    </w:p>
    <w:p w14:paraId="4E7C7B3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身份证号码：</w:t>
      </w:r>
      <w:r>
        <w:rPr>
          <w:rFonts w:hint="eastAsia" w:ascii="仿宋" w:hAnsi="仿宋" w:eastAsia="仿宋" w:cs="仿宋"/>
          <w:color w:val="auto"/>
          <w:sz w:val="24"/>
          <w:szCs w:val="24"/>
          <w:u w:val="single"/>
        </w:rPr>
        <w:t xml:space="preserve">                  </w:t>
      </w:r>
    </w:p>
    <w:p w14:paraId="61CF44F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4A0E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jc w:val="center"/>
        </w:trPr>
        <w:tc>
          <w:tcPr>
            <w:tcW w:w="9071" w:type="dxa"/>
          </w:tcPr>
          <w:p w14:paraId="04FFF50C">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粘贴法定代表人身份证（复印件）：</w:t>
            </w:r>
          </w:p>
        </w:tc>
      </w:tr>
    </w:tbl>
    <w:p w14:paraId="3B66EF33">
      <w:pPr>
        <w:pStyle w:val="3"/>
        <w:spacing w:before="156" w:beforeLines="50" w:after="156" w:afterLines="50"/>
        <w:jc w:val="left"/>
        <w:rPr>
          <w:rFonts w:hint="eastAsia" w:ascii="仿宋" w:hAnsi="仿宋" w:eastAsia="仿宋" w:cs="仿宋"/>
          <w:b/>
          <w:color w:val="auto"/>
          <w:sz w:val="24"/>
          <w:szCs w:val="24"/>
        </w:rPr>
      </w:pPr>
      <w:r>
        <w:rPr>
          <w:rFonts w:hint="eastAsia" w:ascii="仿宋" w:hAnsi="仿宋" w:eastAsia="仿宋" w:cs="仿宋"/>
          <w:b/>
          <w:color w:val="auto"/>
          <w:sz w:val="24"/>
          <w:szCs w:val="24"/>
        </w:rPr>
        <w:br w:type="page"/>
      </w:r>
      <w:bookmarkStart w:id="42" w:name="_Toc17828"/>
      <w:r>
        <w:rPr>
          <w:rFonts w:hint="eastAsia" w:ascii="仿宋" w:hAnsi="仿宋" w:eastAsia="仿宋" w:cs="仿宋"/>
          <w:b/>
          <w:color w:val="auto"/>
          <w:sz w:val="24"/>
          <w:szCs w:val="24"/>
        </w:rPr>
        <w:t>附件2</w:t>
      </w:r>
    </w:p>
    <w:p w14:paraId="7AA334D4">
      <w:pPr>
        <w:pStyle w:val="3"/>
        <w:spacing w:before="156" w:beforeLines="50" w:after="156" w:afterLines="50"/>
        <w:ind w:firstLine="482" w:firstLineChars="200"/>
        <w:jc w:val="center"/>
        <w:rPr>
          <w:rFonts w:hint="eastAsia" w:ascii="仿宋" w:hAnsi="仿宋" w:eastAsia="仿宋" w:cs="仿宋"/>
          <w:color w:val="auto"/>
          <w:sz w:val="24"/>
          <w:szCs w:val="24"/>
        </w:rPr>
      </w:pPr>
      <w:r>
        <w:rPr>
          <w:rFonts w:hint="eastAsia" w:ascii="仿宋" w:hAnsi="仿宋" w:eastAsia="仿宋" w:cs="仿宋"/>
          <w:b/>
          <w:color w:val="auto"/>
          <w:sz w:val="24"/>
          <w:szCs w:val="24"/>
        </w:rPr>
        <w:t>二、</w:t>
      </w:r>
      <w:bookmarkEnd w:id="42"/>
      <w:r>
        <w:rPr>
          <w:rFonts w:hint="eastAsia" w:ascii="仿宋" w:hAnsi="仿宋" w:eastAsia="仿宋" w:cs="仿宋"/>
          <w:b/>
          <w:color w:val="auto"/>
          <w:sz w:val="24"/>
          <w:szCs w:val="24"/>
        </w:rPr>
        <w:t>授权委托书</w:t>
      </w:r>
    </w:p>
    <w:p w14:paraId="2952516D">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兹授权</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同志为我公司参加贵单位组织的</w:t>
      </w:r>
      <w:r>
        <w:rPr>
          <w:rFonts w:hint="eastAsia" w:ascii="仿宋" w:hAnsi="仿宋" w:eastAsia="仿宋" w:cs="仿宋"/>
          <w:color w:val="auto"/>
          <w:sz w:val="24"/>
          <w:szCs w:val="24"/>
          <w:u w:val="single"/>
        </w:rPr>
        <w:t>（项目名称）</w:t>
      </w:r>
      <w:r>
        <w:rPr>
          <w:rFonts w:hint="eastAsia" w:ascii="仿宋" w:hAnsi="仿宋" w:eastAsia="仿宋" w:cs="仿宋"/>
          <w:color w:val="auto"/>
          <w:sz w:val="24"/>
          <w:szCs w:val="24"/>
        </w:rPr>
        <w:t xml:space="preserve">  采购磋商活动的供应商代表人，全权代表我公司处理在该项目磋商采购中的一切事宜。代理期限从</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年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日起至</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年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日止。</w:t>
      </w:r>
    </w:p>
    <w:p w14:paraId="02E0977F">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供应商（盖章）：</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14:paraId="63B02EB1">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法定代表人（签字或盖章）：</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14:paraId="7BEB8F6E">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签发日期：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年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日         </w:t>
      </w:r>
    </w:p>
    <w:p w14:paraId="3BD7E576">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附：代理人工作单位：</w:t>
      </w:r>
      <w:r>
        <w:rPr>
          <w:rFonts w:hint="eastAsia" w:ascii="仿宋" w:hAnsi="仿宋" w:eastAsia="仿宋" w:cs="仿宋"/>
          <w:color w:val="auto"/>
          <w:sz w:val="24"/>
          <w:szCs w:val="24"/>
          <w:u w:val="single"/>
        </w:rPr>
        <w:t xml:space="preserve">                                </w:t>
      </w:r>
    </w:p>
    <w:p w14:paraId="194E9B13">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职务：</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性别：</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14:paraId="07B9535A">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身份证号码：</w:t>
      </w:r>
      <w:r>
        <w:rPr>
          <w:rFonts w:hint="eastAsia" w:ascii="仿宋" w:hAnsi="仿宋" w:eastAsia="仿宋" w:cs="仿宋"/>
          <w:color w:val="auto"/>
          <w:sz w:val="24"/>
          <w:szCs w:val="24"/>
          <w:u w:val="single"/>
        </w:rPr>
        <w:t xml:space="preserve">                                    </w:t>
      </w:r>
    </w:p>
    <w:tbl>
      <w:tblPr>
        <w:tblStyle w:val="21"/>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44CB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6" w:hRule="atLeast"/>
          <w:jc w:val="center"/>
        </w:trPr>
        <w:tc>
          <w:tcPr>
            <w:tcW w:w="9071" w:type="dxa"/>
          </w:tcPr>
          <w:p w14:paraId="7626F2F3">
            <w:pPr>
              <w:autoSpaceDE w:val="0"/>
              <w:autoSpaceDN w:val="0"/>
              <w:adjustRightInd w:val="0"/>
              <w:spacing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粘贴被授权人身份证（复印件）：</w:t>
            </w:r>
          </w:p>
        </w:tc>
      </w:tr>
    </w:tbl>
    <w:p w14:paraId="4E2916D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注：如法定代表人直接参加磋商并签署响应文件，无须提供本授权书。</w:t>
      </w:r>
    </w:p>
    <w:p w14:paraId="500D37B3">
      <w:pPr>
        <w:spacing w:line="360" w:lineRule="auto"/>
        <w:ind w:firstLine="480" w:firstLineChars="200"/>
        <w:rPr>
          <w:rFonts w:hint="eastAsia" w:ascii="仿宋" w:hAnsi="仿宋" w:eastAsia="仿宋" w:cs="仿宋"/>
          <w:color w:val="auto"/>
          <w:sz w:val="24"/>
          <w:szCs w:val="24"/>
        </w:rPr>
      </w:pPr>
    </w:p>
    <w:p w14:paraId="0B24DF61">
      <w:pPr>
        <w:spacing w:line="360" w:lineRule="auto"/>
        <w:ind w:firstLine="480" w:firstLineChars="200"/>
        <w:rPr>
          <w:rFonts w:hint="eastAsia" w:ascii="仿宋" w:hAnsi="仿宋" w:eastAsia="仿宋" w:cs="仿宋"/>
          <w:color w:val="auto"/>
          <w:sz w:val="24"/>
          <w:szCs w:val="24"/>
        </w:rPr>
      </w:pPr>
    </w:p>
    <w:p w14:paraId="62B32FCC">
      <w:pPr>
        <w:spacing w:line="360" w:lineRule="auto"/>
        <w:ind w:firstLine="480" w:firstLineChars="200"/>
        <w:rPr>
          <w:rFonts w:hint="eastAsia" w:ascii="仿宋" w:hAnsi="仿宋" w:eastAsia="仿宋" w:cs="仿宋"/>
          <w:color w:val="auto"/>
          <w:sz w:val="24"/>
          <w:szCs w:val="24"/>
        </w:rPr>
      </w:pPr>
    </w:p>
    <w:p w14:paraId="140E3C12">
      <w:pPr>
        <w:spacing w:line="360" w:lineRule="auto"/>
        <w:ind w:firstLine="480" w:firstLineChars="200"/>
        <w:rPr>
          <w:rFonts w:hint="eastAsia" w:ascii="仿宋" w:hAnsi="仿宋" w:eastAsia="仿宋" w:cs="仿宋"/>
          <w:color w:val="auto"/>
          <w:sz w:val="24"/>
          <w:szCs w:val="24"/>
        </w:rPr>
      </w:pPr>
    </w:p>
    <w:p w14:paraId="7DB1619A">
      <w:pPr>
        <w:spacing w:line="360" w:lineRule="auto"/>
        <w:ind w:firstLine="480" w:firstLineChars="200"/>
        <w:rPr>
          <w:rFonts w:hint="eastAsia" w:ascii="仿宋" w:hAnsi="仿宋" w:eastAsia="仿宋" w:cs="仿宋"/>
          <w:color w:val="auto"/>
          <w:sz w:val="24"/>
          <w:szCs w:val="24"/>
        </w:rPr>
      </w:pPr>
    </w:p>
    <w:p w14:paraId="2535BA33">
      <w:pPr>
        <w:spacing w:line="360" w:lineRule="auto"/>
        <w:ind w:firstLine="480" w:firstLineChars="200"/>
        <w:rPr>
          <w:rFonts w:hint="eastAsia" w:ascii="仿宋" w:hAnsi="仿宋" w:eastAsia="仿宋" w:cs="仿宋"/>
          <w:color w:val="auto"/>
          <w:sz w:val="24"/>
          <w:szCs w:val="24"/>
        </w:rPr>
      </w:pPr>
    </w:p>
    <w:p w14:paraId="773F49D5">
      <w:pPr>
        <w:spacing w:line="360" w:lineRule="auto"/>
        <w:ind w:firstLine="480" w:firstLineChars="200"/>
        <w:rPr>
          <w:rFonts w:hint="eastAsia" w:ascii="仿宋" w:hAnsi="仿宋" w:eastAsia="仿宋" w:cs="仿宋"/>
          <w:color w:val="auto"/>
          <w:sz w:val="24"/>
          <w:szCs w:val="24"/>
        </w:rPr>
      </w:pPr>
    </w:p>
    <w:p w14:paraId="3BBA80CA">
      <w:pPr>
        <w:spacing w:line="360" w:lineRule="auto"/>
        <w:ind w:firstLine="480" w:firstLineChars="200"/>
        <w:rPr>
          <w:rFonts w:hint="eastAsia" w:ascii="仿宋" w:hAnsi="仿宋" w:eastAsia="仿宋" w:cs="仿宋"/>
          <w:color w:val="auto"/>
          <w:sz w:val="24"/>
          <w:szCs w:val="24"/>
        </w:rPr>
      </w:pPr>
    </w:p>
    <w:p w14:paraId="56BDEFC0">
      <w:pPr>
        <w:adjustRightInd w:val="0"/>
        <w:spacing w:before="100" w:after="100" w:line="300" w:lineRule="auto"/>
        <w:ind w:firstLine="482" w:firstLineChars="200"/>
        <w:rPr>
          <w:rFonts w:hint="eastAsia" w:ascii="仿宋" w:hAnsi="仿宋" w:eastAsia="仿宋" w:cs="仿宋"/>
          <w:b/>
          <w:color w:val="auto"/>
          <w:kern w:val="2"/>
          <w:sz w:val="24"/>
          <w:szCs w:val="24"/>
        </w:rPr>
      </w:pPr>
      <w:r>
        <w:rPr>
          <w:rFonts w:hint="eastAsia" w:ascii="仿宋" w:hAnsi="仿宋" w:eastAsia="仿宋" w:cs="仿宋"/>
          <w:b/>
          <w:color w:val="auto"/>
          <w:kern w:val="2"/>
          <w:sz w:val="24"/>
          <w:szCs w:val="24"/>
        </w:rPr>
        <w:t>附件3</w:t>
      </w:r>
    </w:p>
    <w:bookmarkEnd w:id="39"/>
    <w:bookmarkEnd w:id="40"/>
    <w:bookmarkEnd w:id="41"/>
    <w:tbl>
      <w:tblPr>
        <w:tblStyle w:val="27"/>
        <w:tblW w:w="5018" w:type="pct"/>
        <w:jc w:val="cente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autofit"/>
        <w:tblCellMar>
          <w:top w:w="0" w:type="dxa"/>
          <w:left w:w="0" w:type="dxa"/>
          <w:bottom w:w="0" w:type="dxa"/>
          <w:right w:w="0" w:type="dxa"/>
        </w:tblCellMar>
      </w:tblPr>
      <w:tblGrid>
        <w:gridCol w:w="550"/>
        <w:gridCol w:w="914"/>
        <w:gridCol w:w="1182"/>
        <w:gridCol w:w="1807"/>
        <w:gridCol w:w="1987"/>
        <w:gridCol w:w="550"/>
        <w:gridCol w:w="1807"/>
        <w:gridCol w:w="991"/>
      </w:tblGrid>
      <w:tr w14:paraId="2F081003">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12" w:hRule="atLeast"/>
          <w:tblHeader/>
          <w:jc w:val="center"/>
        </w:trPr>
        <w:tc>
          <w:tcPr>
            <w:tcW w:w="5000" w:type="pct"/>
            <w:gridSpan w:val="8"/>
            <w:vMerge w:val="restart"/>
            <w:tcBorders>
              <w:top w:val="single" w:color="000000" w:sz="6" w:space="0"/>
              <w:right w:val="single" w:color="808080" w:sz="4" w:space="0"/>
            </w:tcBorders>
            <w:vAlign w:val="center"/>
          </w:tcPr>
          <w:p w14:paraId="70F4BF1B">
            <w:pPr>
              <w:keepNext w:val="0"/>
              <w:keepLines w:val="0"/>
              <w:widowControl/>
              <w:suppressLineNumbers w:val="0"/>
              <w:snapToGrid w:val="0"/>
              <w:jc w:val="center"/>
              <w:textAlignment w:val="center"/>
              <w:rPr>
                <w:rFonts w:hint="eastAsia" w:ascii="仿宋" w:hAnsi="仿宋" w:eastAsia="仿宋" w:cs="仿宋"/>
                <w:b/>
                <w:color w:val="auto"/>
                <w:sz w:val="24"/>
                <w:szCs w:val="24"/>
              </w:rPr>
            </w:pPr>
            <w:r>
              <w:rPr>
                <w:rFonts w:hint="eastAsia" w:ascii="仿宋" w:hAnsi="仿宋" w:eastAsia="仿宋" w:cs="仿宋"/>
                <w:b/>
                <w:bCs/>
                <w:i w:val="0"/>
                <w:iCs w:val="0"/>
                <w:color w:val="auto"/>
                <w:kern w:val="0"/>
                <w:sz w:val="24"/>
                <w:szCs w:val="24"/>
                <w:u w:val="none"/>
                <w:lang w:val="en-US" w:eastAsia="zh-CN" w:bidi="ar"/>
              </w:rPr>
              <w:t>供应商报价响应表</w:t>
            </w:r>
          </w:p>
        </w:tc>
      </w:tr>
      <w:tr w14:paraId="486FAF9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12" w:hRule="atLeast"/>
          <w:tblHeader/>
          <w:jc w:val="center"/>
        </w:trPr>
        <w:tc>
          <w:tcPr>
            <w:tcW w:w="5000" w:type="pct"/>
            <w:gridSpan w:val="8"/>
            <w:vMerge w:val="continue"/>
            <w:tcBorders>
              <w:right w:val="single" w:color="808080" w:sz="4" w:space="0"/>
            </w:tcBorders>
            <w:vAlign w:val="center"/>
          </w:tcPr>
          <w:p w14:paraId="074F3A1C">
            <w:pPr>
              <w:keepNext/>
              <w:snapToGrid w:val="0"/>
              <w:ind w:left="0" w:leftChars="0" w:right="0" w:rightChars="0" w:firstLine="0" w:firstLineChars="0"/>
              <w:jc w:val="center"/>
              <w:rPr>
                <w:rFonts w:hint="eastAsia" w:ascii="仿宋" w:hAnsi="仿宋" w:eastAsia="仿宋" w:cs="仿宋"/>
                <w:b/>
                <w:color w:val="auto"/>
                <w:sz w:val="24"/>
                <w:szCs w:val="24"/>
              </w:rPr>
            </w:pPr>
          </w:p>
        </w:tc>
      </w:tr>
      <w:tr w14:paraId="61E90EFF">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5000" w:type="pct"/>
            <w:gridSpan w:val="8"/>
            <w:tcBorders>
              <w:top w:val="single" w:color="000000" w:sz="6" w:space="0"/>
              <w:bottom w:val="single" w:color="000000" w:sz="6" w:space="0"/>
              <w:right w:val="single" w:color="808080" w:sz="4" w:space="0"/>
            </w:tcBorders>
            <w:vAlign w:val="center"/>
          </w:tcPr>
          <w:p w14:paraId="5ED8C31C">
            <w:pPr>
              <w:keepNext w:val="0"/>
              <w:keepLines w:val="0"/>
              <w:widowControl/>
              <w:suppressLineNumbers w:val="0"/>
              <w:snapToGrid w:val="0"/>
              <w:jc w:val="center"/>
              <w:textAlignment w:val="center"/>
              <w:rPr>
                <w:rFonts w:hint="eastAsia" w:ascii="仿宋" w:hAnsi="仿宋" w:eastAsia="仿宋" w:cs="仿宋"/>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线路信息：武汉市（湖北鄂安标牌厂） → 湖北省</w:t>
            </w:r>
          </w:p>
        </w:tc>
      </w:tr>
      <w:tr w14:paraId="6C2F61CE">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281" w:type="pct"/>
            <w:tcBorders>
              <w:top w:val="single" w:color="000000" w:sz="6" w:space="0"/>
              <w:bottom w:val="single" w:color="000000" w:sz="6" w:space="0"/>
              <w:right w:val="single" w:color="808080" w:sz="4" w:space="0"/>
            </w:tcBorders>
            <w:vAlign w:val="bottom"/>
          </w:tcPr>
          <w:p w14:paraId="49BAE942">
            <w:pPr>
              <w:snapToGrid w:val="0"/>
              <w:rPr>
                <w:rFonts w:hint="eastAsia" w:ascii="仿宋" w:hAnsi="仿宋" w:eastAsia="仿宋" w:cs="仿宋"/>
                <w:color w:val="auto"/>
                <w:sz w:val="24"/>
                <w:szCs w:val="24"/>
                <w:lang w:val="en-US" w:eastAsia="zh-CN"/>
              </w:rPr>
            </w:pPr>
          </w:p>
        </w:tc>
        <w:tc>
          <w:tcPr>
            <w:tcW w:w="467" w:type="pct"/>
            <w:tcBorders>
              <w:top w:val="single" w:color="000000" w:sz="6" w:space="0"/>
              <w:bottom w:val="single" w:color="000000" w:sz="6" w:space="0"/>
              <w:right w:val="single" w:color="808080" w:sz="4" w:space="0"/>
            </w:tcBorders>
            <w:vAlign w:val="bottom"/>
          </w:tcPr>
          <w:p w14:paraId="267CA5A8">
            <w:pPr>
              <w:snapToGrid w:val="0"/>
              <w:rPr>
                <w:rFonts w:hint="eastAsia" w:ascii="仿宋" w:hAnsi="仿宋" w:eastAsia="仿宋" w:cs="仿宋"/>
                <w:color w:val="auto"/>
                <w:sz w:val="24"/>
                <w:szCs w:val="24"/>
              </w:rPr>
            </w:pPr>
          </w:p>
        </w:tc>
        <w:tc>
          <w:tcPr>
            <w:tcW w:w="604" w:type="pct"/>
            <w:tcBorders>
              <w:top w:val="single" w:color="000000" w:sz="6" w:space="0"/>
              <w:bottom w:val="single" w:color="000000" w:sz="6" w:space="0"/>
              <w:right w:val="single" w:color="808080" w:sz="4" w:space="0"/>
            </w:tcBorders>
            <w:vAlign w:val="bottom"/>
          </w:tcPr>
          <w:p w14:paraId="63439FDB">
            <w:pPr>
              <w:snapToGrid w:val="0"/>
              <w:rPr>
                <w:rFonts w:hint="eastAsia" w:ascii="仿宋" w:hAnsi="仿宋" w:eastAsia="仿宋" w:cs="仿宋"/>
                <w:color w:val="auto"/>
                <w:sz w:val="24"/>
                <w:szCs w:val="24"/>
              </w:rPr>
            </w:pPr>
          </w:p>
        </w:tc>
        <w:tc>
          <w:tcPr>
            <w:tcW w:w="923" w:type="pct"/>
            <w:tcBorders>
              <w:top w:val="single" w:color="000000" w:sz="6" w:space="0"/>
              <w:bottom w:val="single" w:color="000000" w:sz="6" w:space="0"/>
              <w:right w:val="single" w:color="808080" w:sz="4" w:space="0"/>
            </w:tcBorders>
            <w:vAlign w:val="bottom"/>
          </w:tcPr>
          <w:p w14:paraId="38F7D423">
            <w:pPr>
              <w:snapToGrid w:val="0"/>
              <w:rPr>
                <w:rFonts w:hint="eastAsia" w:ascii="仿宋" w:hAnsi="仿宋" w:eastAsia="仿宋" w:cs="仿宋"/>
                <w:color w:val="auto"/>
                <w:sz w:val="24"/>
                <w:szCs w:val="24"/>
              </w:rPr>
            </w:pPr>
          </w:p>
        </w:tc>
        <w:tc>
          <w:tcPr>
            <w:tcW w:w="1015" w:type="pct"/>
            <w:tcBorders>
              <w:top w:val="single" w:color="000000" w:sz="6" w:space="0"/>
              <w:bottom w:val="single" w:color="000000" w:sz="6" w:space="0"/>
              <w:right w:val="single" w:color="808080" w:sz="4" w:space="0"/>
            </w:tcBorders>
            <w:vAlign w:val="bottom"/>
          </w:tcPr>
          <w:p w14:paraId="465E2408">
            <w:pPr>
              <w:snapToGrid w:val="0"/>
              <w:rPr>
                <w:rFonts w:hint="eastAsia" w:ascii="仿宋" w:hAnsi="仿宋" w:eastAsia="仿宋" w:cs="仿宋"/>
                <w:color w:val="auto"/>
                <w:sz w:val="24"/>
                <w:szCs w:val="24"/>
              </w:rPr>
            </w:pPr>
          </w:p>
        </w:tc>
        <w:tc>
          <w:tcPr>
            <w:tcW w:w="281" w:type="pct"/>
            <w:tcBorders>
              <w:top w:val="single" w:color="000000" w:sz="6" w:space="0"/>
              <w:bottom w:val="single" w:color="000000" w:sz="6" w:space="0"/>
              <w:right w:val="single" w:color="808080" w:sz="4" w:space="0"/>
            </w:tcBorders>
            <w:vAlign w:val="bottom"/>
          </w:tcPr>
          <w:p w14:paraId="17762DAD">
            <w:pPr>
              <w:snapToGrid w:val="0"/>
              <w:rPr>
                <w:rFonts w:hint="eastAsia" w:ascii="仿宋" w:hAnsi="仿宋" w:eastAsia="仿宋" w:cs="仿宋"/>
                <w:color w:val="auto"/>
                <w:sz w:val="24"/>
                <w:szCs w:val="24"/>
              </w:rPr>
            </w:pPr>
          </w:p>
        </w:tc>
        <w:tc>
          <w:tcPr>
            <w:tcW w:w="923" w:type="pct"/>
            <w:tcBorders>
              <w:top w:val="single" w:color="000000" w:sz="6" w:space="0"/>
              <w:bottom w:val="single" w:color="000000" w:sz="6" w:space="0"/>
              <w:right w:val="single" w:color="808080" w:sz="4" w:space="0"/>
            </w:tcBorders>
            <w:vAlign w:val="bottom"/>
          </w:tcPr>
          <w:p w14:paraId="7505FB2C">
            <w:pPr>
              <w:snapToGrid w:val="0"/>
              <w:rPr>
                <w:rFonts w:hint="eastAsia" w:ascii="仿宋" w:hAnsi="仿宋" w:eastAsia="仿宋" w:cs="仿宋"/>
                <w:color w:val="auto"/>
                <w:sz w:val="24"/>
                <w:szCs w:val="24"/>
              </w:rPr>
            </w:pPr>
          </w:p>
        </w:tc>
        <w:tc>
          <w:tcPr>
            <w:tcW w:w="502" w:type="pct"/>
            <w:tcBorders>
              <w:top w:val="single" w:color="000000" w:sz="6" w:space="0"/>
              <w:bottom w:val="single" w:color="000000" w:sz="6" w:space="0"/>
              <w:right w:val="single" w:color="808080" w:sz="4" w:space="0"/>
            </w:tcBorders>
            <w:vAlign w:val="bottom"/>
          </w:tcPr>
          <w:p w14:paraId="3AFDFC44">
            <w:pPr>
              <w:snapToGrid w:val="0"/>
              <w:rPr>
                <w:rFonts w:hint="eastAsia" w:ascii="仿宋" w:hAnsi="仿宋" w:eastAsia="仿宋" w:cs="仿宋"/>
                <w:color w:val="auto"/>
                <w:sz w:val="24"/>
                <w:szCs w:val="24"/>
              </w:rPr>
            </w:pPr>
          </w:p>
        </w:tc>
      </w:tr>
      <w:tr w14:paraId="6B70FAA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281" w:type="pct"/>
            <w:tcBorders>
              <w:top w:val="single" w:color="000000" w:sz="6" w:space="0"/>
              <w:bottom w:val="single" w:color="000000" w:sz="6" w:space="0"/>
              <w:right w:val="single" w:color="808080" w:sz="4" w:space="0"/>
            </w:tcBorders>
            <w:vAlign w:val="center"/>
          </w:tcPr>
          <w:p w14:paraId="21658D9F">
            <w:pPr>
              <w:keepNext w:val="0"/>
              <w:keepLines w:val="0"/>
              <w:widowControl/>
              <w:suppressLineNumbers w:val="0"/>
              <w:snapToGrid w:val="0"/>
              <w:jc w:val="center"/>
              <w:textAlignment w:val="center"/>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i w:val="0"/>
                <w:iCs w:val="0"/>
                <w:color w:val="auto"/>
                <w:kern w:val="0"/>
                <w:sz w:val="24"/>
                <w:szCs w:val="24"/>
                <w:u w:val="none"/>
                <w:lang w:val="en-US" w:eastAsia="zh-CN" w:bidi="ar"/>
              </w:rPr>
              <w:t>序号</w:t>
            </w:r>
          </w:p>
        </w:tc>
        <w:tc>
          <w:tcPr>
            <w:tcW w:w="467" w:type="pct"/>
            <w:tcBorders>
              <w:top w:val="single" w:color="000000" w:sz="6" w:space="0"/>
              <w:bottom w:val="single" w:color="000000" w:sz="6" w:space="0"/>
              <w:right w:val="single" w:color="808080" w:sz="4" w:space="0"/>
            </w:tcBorders>
            <w:vAlign w:val="center"/>
          </w:tcPr>
          <w:p w14:paraId="5DEC04EE">
            <w:pPr>
              <w:keepNext w:val="0"/>
              <w:keepLines w:val="0"/>
              <w:widowControl/>
              <w:suppressLineNumbers w:val="0"/>
              <w:snapToGrid w:val="0"/>
              <w:jc w:val="center"/>
              <w:textAlignment w:val="center"/>
              <w:rPr>
                <w:rFonts w:hint="eastAsia" w:ascii="仿宋" w:hAnsi="仿宋" w:eastAsia="仿宋" w:cs="仿宋"/>
                <w:b w:val="0"/>
                <w:bCs w:val="0"/>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报价项目</w:t>
            </w:r>
          </w:p>
        </w:tc>
        <w:tc>
          <w:tcPr>
            <w:tcW w:w="604" w:type="pct"/>
            <w:tcBorders>
              <w:top w:val="single" w:color="000000" w:sz="6" w:space="0"/>
              <w:bottom w:val="single" w:color="000000" w:sz="6" w:space="0"/>
              <w:right w:val="single" w:color="808080" w:sz="4" w:space="0"/>
            </w:tcBorders>
            <w:vAlign w:val="center"/>
          </w:tcPr>
          <w:p w14:paraId="73EDCA4B">
            <w:pPr>
              <w:keepNext w:val="0"/>
              <w:keepLines w:val="0"/>
              <w:widowControl/>
              <w:suppressLineNumbers w:val="0"/>
              <w:snapToGrid w:val="0"/>
              <w:jc w:val="center"/>
              <w:textAlignment w:val="center"/>
              <w:rPr>
                <w:rFonts w:hint="eastAsia" w:ascii="仿宋" w:hAnsi="仿宋" w:eastAsia="仿宋" w:cs="仿宋"/>
                <w:b w:val="0"/>
                <w:bCs w:val="0"/>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公斤段说明</w:t>
            </w:r>
          </w:p>
        </w:tc>
        <w:tc>
          <w:tcPr>
            <w:tcW w:w="923" w:type="pct"/>
            <w:tcBorders>
              <w:top w:val="single" w:color="000000" w:sz="6" w:space="0"/>
              <w:bottom w:val="single" w:color="000000" w:sz="6" w:space="0"/>
              <w:right w:val="single" w:color="808080" w:sz="4" w:space="0"/>
            </w:tcBorders>
            <w:vAlign w:val="center"/>
          </w:tcPr>
          <w:p w14:paraId="4BABE570">
            <w:pPr>
              <w:keepNext w:val="0"/>
              <w:keepLines w:val="0"/>
              <w:widowControl/>
              <w:suppressLineNumbers w:val="0"/>
              <w:snapToGrid w:val="0"/>
              <w:jc w:val="center"/>
              <w:textAlignment w:val="center"/>
              <w:rPr>
                <w:rFonts w:hint="eastAsia" w:ascii="仿宋" w:hAnsi="仿宋" w:eastAsia="仿宋" w:cs="仿宋"/>
                <w:b w:val="0"/>
                <w:bCs w:val="0"/>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最高限价（元）</w:t>
            </w:r>
          </w:p>
        </w:tc>
        <w:tc>
          <w:tcPr>
            <w:tcW w:w="1015" w:type="pct"/>
            <w:tcBorders>
              <w:top w:val="single" w:color="000000" w:sz="6" w:space="0"/>
              <w:bottom w:val="single" w:color="000000" w:sz="6" w:space="0"/>
              <w:right w:val="single" w:color="808080" w:sz="4" w:space="0"/>
            </w:tcBorders>
            <w:vAlign w:val="center"/>
          </w:tcPr>
          <w:p w14:paraId="18F0F920">
            <w:pPr>
              <w:keepNext w:val="0"/>
              <w:keepLines w:val="0"/>
              <w:widowControl/>
              <w:suppressLineNumbers w:val="0"/>
              <w:snapToGrid w:val="0"/>
              <w:jc w:val="center"/>
              <w:textAlignment w:val="center"/>
              <w:rPr>
                <w:rFonts w:hint="eastAsia" w:ascii="仿宋" w:hAnsi="仿宋" w:eastAsia="仿宋" w:cs="仿宋"/>
                <w:b w:val="0"/>
                <w:bCs w:val="0"/>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供应商报价（元）</w:t>
            </w:r>
          </w:p>
        </w:tc>
        <w:tc>
          <w:tcPr>
            <w:tcW w:w="281" w:type="pct"/>
            <w:tcBorders>
              <w:top w:val="single" w:color="000000" w:sz="6" w:space="0"/>
              <w:bottom w:val="single" w:color="000000" w:sz="6" w:space="0"/>
              <w:right w:val="single" w:color="808080" w:sz="4" w:space="0"/>
            </w:tcBorders>
            <w:vAlign w:val="center"/>
          </w:tcPr>
          <w:p w14:paraId="52A16978">
            <w:pPr>
              <w:keepNext w:val="0"/>
              <w:keepLines w:val="0"/>
              <w:widowControl/>
              <w:suppressLineNumbers w:val="0"/>
              <w:snapToGrid w:val="0"/>
              <w:jc w:val="center"/>
              <w:textAlignment w:val="center"/>
              <w:rPr>
                <w:rFonts w:hint="eastAsia" w:ascii="仿宋" w:hAnsi="仿宋" w:eastAsia="仿宋" w:cs="仿宋"/>
                <w:b w:val="0"/>
                <w:bCs w:val="0"/>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权重</w:t>
            </w:r>
          </w:p>
        </w:tc>
        <w:tc>
          <w:tcPr>
            <w:tcW w:w="923" w:type="pct"/>
            <w:tcBorders>
              <w:top w:val="single" w:color="000000" w:sz="6" w:space="0"/>
              <w:bottom w:val="single" w:color="000000" w:sz="6" w:space="0"/>
              <w:right w:val="single" w:color="808080" w:sz="4" w:space="0"/>
            </w:tcBorders>
            <w:vAlign w:val="center"/>
          </w:tcPr>
          <w:p w14:paraId="1CD71E07">
            <w:pPr>
              <w:keepNext w:val="0"/>
              <w:keepLines w:val="0"/>
              <w:widowControl/>
              <w:suppressLineNumbers w:val="0"/>
              <w:snapToGrid w:val="0"/>
              <w:jc w:val="center"/>
              <w:textAlignment w:val="center"/>
              <w:rPr>
                <w:rFonts w:hint="eastAsia" w:ascii="仿宋" w:hAnsi="仿宋" w:eastAsia="仿宋" w:cs="仿宋"/>
                <w:b w:val="0"/>
                <w:bCs w:val="0"/>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加权报价（元）</w:t>
            </w:r>
          </w:p>
        </w:tc>
        <w:tc>
          <w:tcPr>
            <w:tcW w:w="502" w:type="pct"/>
            <w:tcBorders>
              <w:top w:val="single" w:color="000000" w:sz="6" w:space="0"/>
              <w:bottom w:val="single" w:color="000000" w:sz="6" w:space="0"/>
              <w:right w:val="single" w:color="808080" w:sz="4" w:space="0"/>
            </w:tcBorders>
            <w:vAlign w:val="center"/>
          </w:tcPr>
          <w:p w14:paraId="6E0F9AFE">
            <w:pPr>
              <w:keepNext w:val="0"/>
              <w:keepLines w:val="0"/>
              <w:widowControl/>
              <w:suppressLineNumbers w:val="0"/>
              <w:snapToGrid w:val="0"/>
              <w:jc w:val="center"/>
              <w:textAlignment w:val="center"/>
              <w:rPr>
                <w:rFonts w:hint="eastAsia" w:ascii="仿宋" w:hAnsi="仿宋" w:eastAsia="仿宋" w:cs="仿宋"/>
                <w:b w:val="0"/>
                <w:bCs w:val="0"/>
                <w:color w:val="auto"/>
                <w:sz w:val="24"/>
                <w:szCs w:val="24"/>
              </w:rPr>
            </w:pPr>
            <w:r>
              <w:rPr>
                <w:rFonts w:hint="eastAsia" w:ascii="仿宋" w:hAnsi="仿宋" w:eastAsia="仿宋" w:cs="仿宋"/>
                <w:b w:val="0"/>
                <w:bCs w:val="0"/>
                <w:i w:val="0"/>
                <w:iCs w:val="0"/>
                <w:color w:val="auto"/>
                <w:kern w:val="0"/>
                <w:sz w:val="24"/>
                <w:szCs w:val="24"/>
                <w:u w:val="none"/>
                <w:lang w:val="en-US" w:eastAsia="zh-CN" w:bidi="ar"/>
              </w:rPr>
              <w:t>备注</w:t>
            </w:r>
          </w:p>
        </w:tc>
      </w:tr>
      <w:tr w14:paraId="07814CC2">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281" w:type="pct"/>
            <w:tcBorders>
              <w:top w:val="single" w:color="000000" w:sz="6" w:space="0"/>
              <w:bottom w:val="single" w:color="000000" w:sz="6" w:space="0"/>
              <w:right w:val="single" w:color="808080" w:sz="4" w:space="0"/>
            </w:tcBorders>
            <w:vAlign w:val="center"/>
          </w:tcPr>
          <w:p w14:paraId="39B0F3E9">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w:t>
            </w:r>
          </w:p>
        </w:tc>
        <w:tc>
          <w:tcPr>
            <w:tcW w:w="467" w:type="pct"/>
            <w:tcBorders>
              <w:top w:val="single" w:color="000000" w:sz="6" w:space="0"/>
              <w:bottom w:val="single" w:color="000000" w:sz="6" w:space="0"/>
              <w:right w:val="single" w:color="808080" w:sz="4" w:space="0"/>
            </w:tcBorders>
            <w:vAlign w:val="center"/>
          </w:tcPr>
          <w:p w14:paraId="3B5CC5A7">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报价A</w:t>
            </w:r>
          </w:p>
        </w:tc>
        <w:tc>
          <w:tcPr>
            <w:tcW w:w="604" w:type="pct"/>
            <w:tcBorders>
              <w:top w:val="single" w:color="000000" w:sz="6" w:space="0"/>
              <w:bottom w:val="single" w:color="000000" w:sz="6" w:space="0"/>
              <w:right w:val="single" w:color="808080" w:sz="4" w:space="0"/>
            </w:tcBorders>
            <w:vAlign w:val="center"/>
          </w:tcPr>
          <w:p w14:paraId="4BAF396E">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≤1公斤</w:t>
            </w:r>
          </w:p>
        </w:tc>
        <w:tc>
          <w:tcPr>
            <w:tcW w:w="923" w:type="pct"/>
            <w:tcBorders>
              <w:top w:val="single" w:color="000000" w:sz="6" w:space="0"/>
              <w:bottom w:val="single" w:color="000000" w:sz="6" w:space="0"/>
              <w:right w:val="single" w:color="808080" w:sz="4" w:space="0"/>
            </w:tcBorders>
            <w:vAlign w:val="center"/>
          </w:tcPr>
          <w:p w14:paraId="72D0C5FD">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8.4</w:t>
            </w:r>
          </w:p>
        </w:tc>
        <w:tc>
          <w:tcPr>
            <w:tcW w:w="1015" w:type="pct"/>
            <w:tcBorders>
              <w:top w:val="single" w:color="000000" w:sz="6" w:space="0"/>
              <w:bottom w:val="single" w:color="000000" w:sz="6" w:space="0"/>
              <w:right w:val="single" w:color="808080" w:sz="4" w:space="0"/>
            </w:tcBorders>
            <w:vAlign w:val="center"/>
          </w:tcPr>
          <w:p w14:paraId="3676D819">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81" w:type="pct"/>
            <w:tcBorders>
              <w:top w:val="single" w:color="000000" w:sz="6" w:space="0"/>
              <w:bottom w:val="single" w:color="000000" w:sz="6" w:space="0"/>
              <w:right w:val="single" w:color="808080" w:sz="4" w:space="0"/>
            </w:tcBorders>
            <w:vAlign w:val="center"/>
          </w:tcPr>
          <w:p w14:paraId="4817060F">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3</w:t>
            </w:r>
          </w:p>
        </w:tc>
        <w:tc>
          <w:tcPr>
            <w:tcW w:w="923" w:type="pct"/>
            <w:tcBorders>
              <w:top w:val="single" w:color="000000" w:sz="6" w:space="0"/>
              <w:bottom w:val="single" w:color="000000" w:sz="6" w:space="0"/>
              <w:right w:val="single" w:color="808080" w:sz="4" w:space="0"/>
            </w:tcBorders>
            <w:vAlign w:val="center"/>
          </w:tcPr>
          <w:p w14:paraId="2671DB16">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502" w:type="pct"/>
            <w:tcBorders>
              <w:top w:val="single" w:color="000000" w:sz="6" w:space="0"/>
              <w:bottom w:val="single" w:color="000000" w:sz="6" w:space="0"/>
              <w:right w:val="single" w:color="808080" w:sz="4" w:space="0"/>
            </w:tcBorders>
            <w:shd w:val="clear" w:color="auto" w:fill="auto"/>
            <w:vAlign w:val="center"/>
          </w:tcPr>
          <w:p w14:paraId="6F510AB4">
            <w:pPr>
              <w:keepNext w:val="0"/>
              <w:keepLines w:val="0"/>
              <w:widowControl/>
              <w:suppressLineNumbers w:val="0"/>
              <w:snapToGrid w:val="0"/>
              <w:jc w:val="center"/>
              <w:textAlignment w:val="center"/>
              <w:rPr>
                <w:rFonts w:hint="eastAsia" w:ascii="仿宋" w:hAnsi="仿宋" w:eastAsia="仿宋" w:cs="仿宋"/>
                <w:b w:val="0"/>
                <w:bCs w:val="0"/>
                <w:i w:val="0"/>
                <w:iCs w:val="0"/>
                <w:color w:val="auto"/>
                <w:sz w:val="24"/>
                <w:szCs w:val="24"/>
                <w:u w:val="none"/>
                <w:lang w:val="en-US" w:eastAsia="zh-CN" w:bidi="ar-SA"/>
              </w:rPr>
            </w:pPr>
          </w:p>
        </w:tc>
      </w:tr>
      <w:tr w14:paraId="0040D93D">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281" w:type="pct"/>
            <w:tcBorders>
              <w:top w:val="single" w:color="000000" w:sz="6" w:space="0"/>
              <w:bottom w:val="single" w:color="000000" w:sz="6" w:space="0"/>
              <w:right w:val="single" w:color="808080" w:sz="4" w:space="0"/>
            </w:tcBorders>
            <w:vAlign w:val="center"/>
          </w:tcPr>
          <w:p w14:paraId="3DFCF55F">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2</w:t>
            </w:r>
          </w:p>
        </w:tc>
        <w:tc>
          <w:tcPr>
            <w:tcW w:w="467" w:type="pct"/>
            <w:tcBorders>
              <w:top w:val="single" w:color="000000" w:sz="6" w:space="0"/>
              <w:bottom w:val="single" w:color="000000" w:sz="6" w:space="0"/>
              <w:right w:val="single" w:color="808080" w:sz="4" w:space="0"/>
            </w:tcBorders>
            <w:vAlign w:val="center"/>
          </w:tcPr>
          <w:p w14:paraId="25236833">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报价B</w:t>
            </w:r>
          </w:p>
        </w:tc>
        <w:tc>
          <w:tcPr>
            <w:tcW w:w="604" w:type="pct"/>
            <w:tcBorders>
              <w:top w:val="single" w:color="000000" w:sz="6" w:space="0"/>
              <w:bottom w:val="single" w:color="000000" w:sz="6" w:space="0"/>
              <w:right w:val="single" w:color="808080" w:sz="4" w:space="0"/>
            </w:tcBorders>
            <w:vAlign w:val="center"/>
          </w:tcPr>
          <w:p w14:paraId="04D8207C">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1-20公斤</w:t>
            </w:r>
          </w:p>
        </w:tc>
        <w:tc>
          <w:tcPr>
            <w:tcW w:w="923" w:type="pct"/>
            <w:tcBorders>
              <w:top w:val="single" w:color="000000" w:sz="6" w:space="0"/>
              <w:bottom w:val="single" w:color="000000" w:sz="6" w:space="0"/>
              <w:right w:val="single" w:color="808080" w:sz="4" w:space="0"/>
            </w:tcBorders>
            <w:vAlign w:val="center"/>
          </w:tcPr>
          <w:p w14:paraId="3D592A3C">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15.00</w:t>
            </w:r>
          </w:p>
        </w:tc>
        <w:tc>
          <w:tcPr>
            <w:tcW w:w="1015" w:type="pct"/>
            <w:tcBorders>
              <w:top w:val="single" w:color="000000" w:sz="6" w:space="0"/>
              <w:bottom w:val="single" w:color="000000" w:sz="6" w:space="0"/>
              <w:right w:val="single" w:color="808080" w:sz="4" w:space="0"/>
            </w:tcBorders>
            <w:vAlign w:val="center"/>
          </w:tcPr>
          <w:p w14:paraId="2855BCBC">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81" w:type="pct"/>
            <w:tcBorders>
              <w:top w:val="single" w:color="000000" w:sz="6" w:space="0"/>
              <w:bottom w:val="single" w:color="000000" w:sz="6" w:space="0"/>
              <w:right w:val="single" w:color="808080" w:sz="4" w:space="0"/>
            </w:tcBorders>
            <w:vAlign w:val="center"/>
          </w:tcPr>
          <w:p w14:paraId="583FC9B4">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94</w:t>
            </w:r>
          </w:p>
        </w:tc>
        <w:tc>
          <w:tcPr>
            <w:tcW w:w="923" w:type="pct"/>
            <w:tcBorders>
              <w:top w:val="single" w:color="000000" w:sz="6" w:space="0"/>
              <w:bottom w:val="single" w:color="000000" w:sz="6" w:space="0"/>
              <w:right w:val="single" w:color="808080" w:sz="4" w:space="0"/>
            </w:tcBorders>
            <w:vAlign w:val="center"/>
          </w:tcPr>
          <w:p w14:paraId="3D4ED567">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502" w:type="pct"/>
            <w:tcBorders>
              <w:top w:val="single" w:color="000000" w:sz="6" w:space="0"/>
              <w:bottom w:val="single" w:color="000000" w:sz="6" w:space="0"/>
              <w:right w:val="single" w:color="808080" w:sz="4" w:space="0"/>
            </w:tcBorders>
            <w:shd w:val="clear" w:color="auto" w:fill="auto"/>
            <w:vAlign w:val="center"/>
          </w:tcPr>
          <w:p w14:paraId="5B943932">
            <w:pPr>
              <w:keepNext w:val="0"/>
              <w:keepLines w:val="0"/>
              <w:widowControl/>
              <w:suppressLineNumbers w:val="0"/>
              <w:snapToGrid w:val="0"/>
              <w:jc w:val="center"/>
              <w:textAlignment w:val="center"/>
              <w:rPr>
                <w:rFonts w:hint="eastAsia" w:ascii="仿宋" w:hAnsi="仿宋" w:eastAsia="仿宋" w:cs="仿宋"/>
                <w:b w:val="0"/>
                <w:bCs w:val="0"/>
                <w:i w:val="0"/>
                <w:iCs w:val="0"/>
                <w:color w:val="auto"/>
                <w:sz w:val="24"/>
                <w:szCs w:val="24"/>
                <w:u w:val="none"/>
                <w:lang w:val="en-US" w:eastAsia="zh-CN" w:bidi="ar-SA"/>
              </w:rPr>
            </w:pPr>
          </w:p>
        </w:tc>
      </w:tr>
      <w:tr w14:paraId="39C6D185">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281" w:type="pct"/>
            <w:tcBorders>
              <w:top w:val="single" w:color="000000" w:sz="6" w:space="0"/>
              <w:bottom w:val="single" w:color="000000" w:sz="6" w:space="0"/>
              <w:right w:val="single" w:color="808080" w:sz="4" w:space="0"/>
            </w:tcBorders>
            <w:vAlign w:val="center"/>
          </w:tcPr>
          <w:p w14:paraId="0A877428">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3</w:t>
            </w:r>
          </w:p>
        </w:tc>
        <w:tc>
          <w:tcPr>
            <w:tcW w:w="467" w:type="pct"/>
            <w:tcBorders>
              <w:top w:val="single" w:color="000000" w:sz="6" w:space="0"/>
              <w:bottom w:val="single" w:color="000000" w:sz="6" w:space="0"/>
              <w:right w:val="single" w:color="808080" w:sz="4" w:space="0"/>
            </w:tcBorders>
            <w:vAlign w:val="center"/>
          </w:tcPr>
          <w:p w14:paraId="71D74A52">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报价C</w:t>
            </w:r>
          </w:p>
        </w:tc>
        <w:tc>
          <w:tcPr>
            <w:tcW w:w="604" w:type="pct"/>
            <w:tcBorders>
              <w:top w:val="single" w:color="000000" w:sz="6" w:space="0"/>
              <w:bottom w:val="single" w:color="000000" w:sz="6" w:space="0"/>
              <w:right w:val="single" w:color="808080" w:sz="4" w:space="0"/>
            </w:tcBorders>
            <w:vAlign w:val="center"/>
          </w:tcPr>
          <w:p w14:paraId="0E3D1922">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20-30公斤</w:t>
            </w:r>
          </w:p>
        </w:tc>
        <w:tc>
          <w:tcPr>
            <w:tcW w:w="923" w:type="pct"/>
            <w:tcBorders>
              <w:top w:val="single" w:color="000000" w:sz="6" w:space="0"/>
              <w:bottom w:val="single" w:color="000000" w:sz="6" w:space="0"/>
              <w:right w:val="single" w:color="808080" w:sz="4" w:space="0"/>
            </w:tcBorders>
            <w:vAlign w:val="center"/>
          </w:tcPr>
          <w:p w14:paraId="0D7A6469">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25.00</w:t>
            </w:r>
          </w:p>
        </w:tc>
        <w:tc>
          <w:tcPr>
            <w:tcW w:w="1015" w:type="pct"/>
            <w:tcBorders>
              <w:top w:val="single" w:color="000000" w:sz="6" w:space="0"/>
              <w:bottom w:val="single" w:color="000000" w:sz="6" w:space="0"/>
              <w:right w:val="single" w:color="808080" w:sz="4" w:space="0"/>
            </w:tcBorders>
            <w:vAlign w:val="center"/>
          </w:tcPr>
          <w:p w14:paraId="6898ED95">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281" w:type="pct"/>
            <w:tcBorders>
              <w:top w:val="single" w:color="000000" w:sz="6" w:space="0"/>
              <w:bottom w:val="single" w:color="000000" w:sz="6" w:space="0"/>
              <w:right w:val="single" w:color="808080" w:sz="4" w:space="0"/>
            </w:tcBorders>
            <w:vAlign w:val="center"/>
          </w:tcPr>
          <w:p w14:paraId="1C61D16C">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3</w:t>
            </w:r>
          </w:p>
        </w:tc>
        <w:tc>
          <w:tcPr>
            <w:tcW w:w="923" w:type="pct"/>
            <w:tcBorders>
              <w:top w:val="single" w:color="000000" w:sz="6" w:space="0"/>
              <w:bottom w:val="single" w:color="000000" w:sz="6" w:space="0"/>
              <w:right w:val="single" w:color="808080" w:sz="4" w:space="0"/>
            </w:tcBorders>
            <w:vAlign w:val="center"/>
          </w:tcPr>
          <w:p w14:paraId="68F0E2CA">
            <w:pPr>
              <w:keepNext w:val="0"/>
              <w:keepLines w:val="0"/>
              <w:widowControl/>
              <w:suppressLineNumbers w:val="0"/>
              <w:snapToGrid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c>
          <w:tcPr>
            <w:tcW w:w="502" w:type="pct"/>
            <w:tcBorders>
              <w:top w:val="single" w:color="000000" w:sz="6" w:space="0"/>
              <w:bottom w:val="single" w:color="000000" w:sz="6" w:space="0"/>
              <w:right w:val="single" w:color="808080" w:sz="4" w:space="0"/>
            </w:tcBorders>
            <w:shd w:val="clear" w:color="auto" w:fill="auto"/>
            <w:vAlign w:val="center"/>
          </w:tcPr>
          <w:p w14:paraId="11B36989">
            <w:pPr>
              <w:keepNext w:val="0"/>
              <w:keepLines w:val="0"/>
              <w:widowControl/>
              <w:suppressLineNumbers w:val="0"/>
              <w:snapToGrid w:val="0"/>
              <w:jc w:val="center"/>
              <w:textAlignment w:val="center"/>
              <w:rPr>
                <w:rFonts w:hint="eastAsia" w:ascii="仿宋" w:hAnsi="仿宋" w:eastAsia="仿宋" w:cs="仿宋"/>
                <w:b w:val="0"/>
                <w:bCs w:val="0"/>
                <w:i w:val="0"/>
                <w:iCs w:val="0"/>
                <w:color w:val="auto"/>
                <w:sz w:val="24"/>
                <w:szCs w:val="24"/>
                <w:u w:val="none"/>
                <w:lang w:val="en-US" w:eastAsia="zh-CN" w:bidi="ar-SA"/>
              </w:rPr>
            </w:pPr>
          </w:p>
        </w:tc>
      </w:tr>
      <w:tr w14:paraId="0F65DAF8">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5000" w:type="pct"/>
            <w:gridSpan w:val="8"/>
            <w:tcBorders>
              <w:top w:val="single" w:color="000000" w:sz="6" w:space="0"/>
              <w:bottom w:val="single" w:color="000000" w:sz="6" w:space="0"/>
              <w:right w:val="single" w:color="808080" w:sz="4" w:space="0"/>
            </w:tcBorders>
            <w:vAlign w:val="center"/>
          </w:tcPr>
          <w:p w14:paraId="1F19D079">
            <w:pPr>
              <w:keepNext w:val="0"/>
              <w:keepLines w:val="0"/>
              <w:widowControl/>
              <w:suppressLineNumbers w:val="0"/>
              <w:snapToGrid w:val="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综合报价（元):</w:t>
            </w:r>
          </w:p>
        </w:tc>
      </w:tr>
      <w:tr w14:paraId="088EE8DB">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5000" w:type="pct"/>
            <w:gridSpan w:val="8"/>
            <w:tcBorders>
              <w:top w:val="single" w:color="000000" w:sz="6" w:space="0"/>
              <w:right w:val="single" w:color="808080" w:sz="4" w:space="0"/>
            </w:tcBorders>
            <w:vAlign w:val="center"/>
          </w:tcPr>
          <w:p w14:paraId="077388CA">
            <w:pPr>
              <w:keepNext w:val="0"/>
              <w:keepLines w:val="0"/>
              <w:widowControl/>
              <w:suppressLineNumbers w:val="0"/>
              <w:snapToGrid w:val="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【报价说明】：</w:t>
            </w:r>
          </w:p>
          <w:p w14:paraId="5B1B0532">
            <w:pPr>
              <w:keepNext w:val="0"/>
              <w:keepLines w:val="0"/>
              <w:widowControl/>
              <w:numPr>
                <w:ilvl w:val="0"/>
                <w:numId w:val="0"/>
              </w:numPr>
              <w:suppressLineNumbers w:val="0"/>
              <w:snapToGrid w:val="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1.报价包含全部税费、配套服务及完成本合同项下全部义务的所有费用。</w:t>
            </w:r>
          </w:p>
          <w:p w14:paraId="24F345F1">
            <w:pPr>
              <w:keepNext w:val="0"/>
              <w:keepLines w:val="0"/>
              <w:widowControl/>
              <w:numPr>
                <w:ilvl w:val="0"/>
                <w:numId w:val="0"/>
              </w:numPr>
              <w:suppressLineNumbers w:val="0"/>
              <w:snapToGrid w:val="0"/>
              <w:ind w:leftChars="0"/>
              <w:jc w:val="both"/>
              <w:textAlignment w:val="center"/>
              <w:rPr>
                <w:rFonts w:hint="eastAsia" w:ascii="方正仿宋_GB2312" w:hAnsi="方正仿宋_GB2312" w:eastAsia="方正仿宋_GB2312" w:cs="方正仿宋_GB2312"/>
                <w:color w:val="auto"/>
                <w:kern w:val="0"/>
                <w:sz w:val="24"/>
                <w:szCs w:val="24"/>
              </w:rPr>
            </w:pPr>
            <w:r>
              <w:rPr>
                <w:rFonts w:hint="eastAsia" w:ascii="仿宋" w:hAnsi="仿宋" w:eastAsia="仿宋" w:cs="仿宋"/>
                <w:i w:val="0"/>
                <w:iCs w:val="0"/>
                <w:color w:val="auto"/>
                <w:kern w:val="0"/>
                <w:sz w:val="24"/>
                <w:szCs w:val="24"/>
                <w:u w:val="none"/>
                <w:lang w:val="en-US" w:eastAsia="zh-CN" w:bidi="ar"/>
              </w:rPr>
              <w:t>2.供应商综合报价计算公式：A×3% + B×94% + C×3%;所有报价</w:t>
            </w:r>
            <w:r>
              <w:rPr>
                <w:rFonts w:hint="eastAsia" w:ascii="方正仿宋_GB2312" w:hAnsi="方正仿宋_GB2312" w:eastAsia="方正仿宋_GB2312" w:cs="方正仿宋_GB2312"/>
                <w:color w:val="auto"/>
                <w:kern w:val="0"/>
                <w:sz w:val="24"/>
                <w:szCs w:val="24"/>
              </w:rPr>
              <w:t>均按四舍五入方法精确到小数点后二位。</w:t>
            </w:r>
          </w:p>
          <w:p w14:paraId="13F6251F">
            <w:pPr>
              <w:keepNext w:val="0"/>
              <w:keepLines w:val="0"/>
              <w:widowControl/>
              <w:numPr>
                <w:ilvl w:val="0"/>
                <w:numId w:val="0"/>
              </w:numPr>
              <w:suppressLineNumbers w:val="0"/>
              <w:snapToGrid w:val="0"/>
              <w:jc w:val="both"/>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3.供应商的单项报价不能超过每项限价，且综合报价不得超过加权综合报价（15.10元），否则视为无效报价。</w:t>
            </w:r>
          </w:p>
        </w:tc>
      </w:tr>
    </w:tbl>
    <w:p w14:paraId="727AE0F4">
      <w:pPr>
        <w:adjustRightInd w:val="0"/>
        <w:spacing w:before="100" w:after="100" w:line="300" w:lineRule="auto"/>
        <w:rPr>
          <w:rFonts w:hint="eastAsia" w:ascii="仿宋" w:hAnsi="仿宋" w:eastAsia="仿宋" w:cs="仿宋"/>
          <w:kern w:val="2"/>
          <w:sz w:val="24"/>
          <w:szCs w:val="24"/>
        </w:rPr>
      </w:pPr>
    </w:p>
    <w:p w14:paraId="02CEE6FD">
      <w:pPr>
        <w:adjustRightInd w:val="0"/>
        <w:spacing w:before="100" w:after="100" w:line="30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说明：报价应按照采购文件的要求报价。</w:t>
      </w:r>
    </w:p>
    <w:p w14:paraId="5ED4AEAC">
      <w:pPr>
        <w:wordWrap w:val="0"/>
        <w:snapToGrid w:val="0"/>
        <w:spacing w:line="240" w:lineRule="atLeast"/>
        <w:ind w:firstLine="560"/>
        <w:jc w:val="right"/>
        <w:rPr>
          <w:rFonts w:hint="default" w:ascii="仿宋" w:hAnsi="仿宋" w:eastAsia="仿宋" w:cs="仿宋"/>
          <w:kern w:val="2"/>
          <w:sz w:val="24"/>
          <w:szCs w:val="24"/>
          <w:lang w:val="en-US" w:eastAsia="zh-CN"/>
        </w:rPr>
      </w:pPr>
      <w:r>
        <w:rPr>
          <w:rFonts w:hint="eastAsia" w:ascii="仿宋" w:hAnsi="仿宋" w:eastAsia="仿宋" w:cs="仿宋"/>
          <w:kern w:val="2"/>
          <w:sz w:val="24"/>
          <w:szCs w:val="24"/>
        </w:rPr>
        <w:t>供应商名称[盖章]：</w:t>
      </w:r>
      <w:r>
        <w:rPr>
          <w:rFonts w:hint="eastAsia" w:ascii="仿宋" w:hAnsi="仿宋" w:eastAsia="仿宋" w:cs="仿宋"/>
          <w:kern w:val="2"/>
          <w:sz w:val="24"/>
          <w:szCs w:val="24"/>
          <w:lang w:val="en-US" w:eastAsia="zh-CN"/>
        </w:rPr>
        <w:t xml:space="preserve">                    </w:t>
      </w:r>
    </w:p>
    <w:p w14:paraId="7E7AC392">
      <w:pPr>
        <w:wordWrap w:val="0"/>
        <w:snapToGrid w:val="0"/>
        <w:spacing w:line="240" w:lineRule="atLeast"/>
        <w:ind w:firstLine="560"/>
        <w:jc w:val="right"/>
        <w:rPr>
          <w:rFonts w:hint="default" w:ascii="仿宋" w:hAnsi="仿宋" w:eastAsia="仿宋" w:cs="仿宋"/>
          <w:kern w:val="2"/>
          <w:sz w:val="24"/>
          <w:szCs w:val="24"/>
          <w:lang w:val="en-US" w:eastAsia="zh-CN"/>
        </w:rPr>
      </w:pPr>
      <w:r>
        <w:rPr>
          <w:rFonts w:hint="eastAsia" w:ascii="仿宋" w:hAnsi="仿宋" w:eastAsia="仿宋" w:cs="仿宋"/>
          <w:kern w:val="2"/>
          <w:sz w:val="24"/>
          <w:szCs w:val="24"/>
        </w:rPr>
        <w:t>供应商授权代表签字：</w:t>
      </w:r>
      <w:r>
        <w:rPr>
          <w:rFonts w:hint="eastAsia" w:ascii="仿宋" w:hAnsi="仿宋" w:eastAsia="仿宋" w:cs="仿宋"/>
          <w:kern w:val="2"/>
          <w:sz w:val="24"/>
          <w:szCs w:val="24"/>
          <w:lang w:val="en-US" w:eastAsia="zh-CN"/>
        </w:rPr>
        <w:t xml:space="preserve">                    </w:t>
      </w:r>
    </w:p>
    <w:p w14:paraId="08FBC135">
      <w:pPr>
        <w:wordWrap w:val="0"/>
        <w:snapToGrid w:val="0"/>
        <w:spacing w:line="240" w:lineRule="atLeast"/>
        <w:ind w:firstLine="560"/>
        <w:jc w:val="right"/>
        <w:rPr>
          <w:rFonts w:hint="eastAsia" w:ascii="仿宋" w:hAnsi="仿宋" w:eastAsia="仿宋" w:cs="仿宋"/>
          <w:kern w:val="2"/>
          <w:sz w:val="24"/>
          <w:szCs w:val="24"/>
          <w:lang w:val="en-US" w:eastAsia="zh-CN"/>
        </w:rPr>
      </w:pPr>
      <w:r>
        <w:rPr>
          <w:rFonts w:hint="eastAsia" w:ascii="仿宋" w:hAnsi="仿宋" w:eastAsia="仿宋" w:cs="仿宋"/>
          <w:kern w:val="2"/>
          <w:sz w:val="24"/>
          <w:szCs w:val="24"/>
        </w:rPr>
        <w:t>日期：</w:t>
      </w:r>
      <w:r>
        <w:rPr>
          <w:rFonts w:hint="eastAsia" w:ascii="仿宋" w:hAnsi="仿宋" w:eastAsia="仿宋" w:cs="仿宋"/>
          <w:kern w:val="2"/>
          <w:sz w:val="24"/>
          <w:szCs w:val="24"/>
          <w:lang w:val="en-US" w:eastAsia="zh-CN"/>
        </w:rPr>
        <w:t xml:space="preserve">         </w:t>
      </w:r>
    </w:p>
    <w:p w14:paraId="5F303625">
      <w:pPr>
        <w:wordWrap w:val="0"/>
        <w:snapToGrid w:val="0"/>
        <w:spacing w:line="240" w:lineRule="atLeast"/>
        <w:ind w:firstLine="560"/>
        <w:jc w:val="right"/>
        <w:rPr>
          <w:rFonts w:hint="eastAsia" w:ascii="仿宋" w:hAnsi="仿宋" w:eastAsia="仿宋" w:cs="仿宋"/>
          <w:kern w:val="2"/>
          <w:sz w:val="24"/>
          <w:szCs w:val="24"/>
          <w:lang w:val="en-US" w:eastAsia="zh-CN"/>
        </w:rPr>
      </w:pPr>
    </w:p>
    <w:p w14:paraId="567B9CAC">
      <w:pPr>
        <w:wordWrap w:val="0"/>
        <w:snapToGrid w:val="0"/>
        <w:spacing w:line="240" w:lineRule="atLeast"/>
        <w:ind w:firstLine="560"/>
        <w:jc w:val="right"/>
        <w:rPr>
          <w:rFonts w:hint="eastAsia" w:ascii="仿宋" w:hAnsi="仿宋" w:eastAsia="仿宋" w:cs="仿宋"/>
          <w:kern w:val="2"/>
          <w:sz w:val="24"/>
          <w:szCs w:val="24"/>
          <w:lang w:val="en-US" w:eastAsia="zh-CN"/>
        </w:rPr>
      </w:pPr>
    </w:p>
    <w:p w14:paraId="0BCD4FD8">
      <w:pPr>
        <w:wordWrap w:val="0"/>
        <w:snapToGrid w:val="0"/>
        <w:spacing w:line="240" w:lineRule="atLeast"/>
        <w:ind w:firstLine="560"/>
        <w:jc w:val="right"/>
        <w:rPr>
          <w:rFonts w:hint="eastAsia" w:ascii="仿宋" w:hAnsi="仿宋" w:eastAsia="仿宋" w:cs="仿宋"/>
          <w:kern w:val="2"/>
          <w:sz w:val="24"/>
          <w:szCs w:val="24"/>
          <w:lang w:val="en-US" w:eastAsia="zh-CN"/>
        </w:rPr>
      </w:pPr>
    </w:p>
    <w:p w14:paraId="5A06BD79">
      <w:pPr>
        <w:wordWrap w:val="0"/>
        <w:snapToGrid w:val="0"/>
        <w:spacing w:line="240" w:lineRule="atLeast"/>
        <w:ind w:firstLine="560"/>
        <w:jc w:val="right"/>
        <w:rPr>
          <w:rFonts w:hint="eastAsia" w:ascii="仿宋" w:hAnsi="仿宋" w:eastAsia="仿宋" w:cs="仿宋"/>
          <w:kern w:val="2"/>
          <w:sz w:val="24"/>
          <w:szCs w:val="24"/>
          <w:lang w:val="en-US" w:eastAsia="zh-CN"/>
        </w:rPr>
      </w:pPr>
    </w:p>
    <w:p w14:paraId="4D42FB14">
      <w:pPr>
        <w:wordWrap w:val="0"/>
        <w:snapToGrid w:val="0"/>
        <w:spacing w:line="240" w:lineRule="atLeast"/>
        <w:ind w:firstLine="560"/>
        <w:jc w:val="right"/>
        <w:rPr>
          <w:rFonts w:hint="eastAsia" w:ascii="仿宋" w:hAnsi="仿宋" w:eastAsia="仿宋" w:cs="仿宋"/>
          <w:kern w:val="2"/>
          <w:sz w:val="24"/>
          <w:szCs w:val="24"/>
          <w:lang w:val="en-US" w:eastAsia="zh-CN"/>
        </w:rPr>
      </w:pPr>
    </w:p>
    <w:p w14:paraId="0178ED92">
      <w:pPr>
        <w:wordWrap w:val="0"/>
        <w:snapToGrid w:val="0"/>
        <w:spacing w:line="240" w:lineRule="atLeast"/>
        <w:ind w:firstLine="560"/>
        <w:jc w:val="right"/>
        <w:rPr>
          <w:rFonts w:hint="eastAsia" w:ascii="仿宋" w:hAnsi="仿宋" w:eastAsia="仿宋" w:cs="仿宋"/>
          <w:kern w:val="2"/>
          <w:sz w:val="24"/>
          <w:szCs w:val="24"/>
          <w:lang w:val="en-US" w:eastAsia="zh-CN"/>
        </w:rPr>
      </w:pPr>
    </w:p>
    <w:p w14:paraId="32C7450B">
      <w:pPr>
        <w:wordWrap w:val="0"/>
        <w:snapToGrid w:val="0"/>
        <w:spacing w:line="240" w:lineRule="atLeast"/>
        <w:ind w:firstLine="560"/>
        <w:jc w:val="right"/>
        <w:rPr>
          <w:rFonts w:hint="eastAsia" w:ascii="仿宋" w:hAnsi="仿宋" w:eastAsia="仿宋" w:cs="仿宋"/>
          <w:kern w:val="2"/>
          <w:sz w:val="24"/>
          <w:szCs w:val="24"/>
          <w:lang w:val="en-US" w:eastAsia="zh-CN"/>
        </w:rPr>
      </w:pPr>
    </w:p>
    <w:p w14:paraId="4E155B0D">
      <w:pPr>
        <w:wordWrap w:val="0"/>
        <w:snapToGrid w:val="0"/>
        <w:spacing w:line="240" w:lineRule="atLeast"/>
        <w:ind w:firstLine="560"/>
        <w:jc w:val="right"/>
        <w:rPr>
          <w:rFonts w:hint="eastAsia" w:ascii="仿宋" w:hAnsi="仿宋" w:eastAsia="仿宋" w:cs="仿宋"/>
          <w:kern w:val="2"/>
          <w:sz w:val="24"/>
          <w:szCs w:val="24"/>
          <w:lang w:val="en-US" w:eastAsia="zh-CN"/>
        </w:rPr>
      </w:pPr>
    </w:p>
    <w:p w14:paraId="55785EF7">
      <w:pPr>
        <w:wordWrap w:val="0"/>
        <w:snapToGrid w:val="0"/>
        <w:spacing w:line="240" w:lineRule="atLeast"/>
        <w:ind w:firstLine="560"/>
        <w:jc w:val="right"/>
        <w:rPr>
          <w:rFonts w:hint="eastAsia" w:ascii="仿宋" w:hAnsi="仿宋" w:eastAsia="仿宋" w:cs="仿宋"/>
          <w:kern w:val="2"/>
          <w:sz w:val="24"/>
          <w:szCs w:val="24"/>
          <w:lang w:val="en-US" w:eastAsia="zh-CN"/>
        </w:rPr>
      </w:pPr>
    </w:p>
    <w:p w14:paraId="41D725F3">
      <w:pPr>
        <w:wordWrap w:val="0"/>
        <w:snapToGrid w:val="0"/>
        <w:spacing w:line="240" w:lineRule="atLeast"/>
        <w:ind w:firstLine="560"/>
        <w:jc w:val="right"/>
        <w:rPr>
          <w:rFonts w:hint="eastAsia" w:ascii="仿宋" w:hAnsi="仿宋" w:eastAsia="仿宋" w:cs="仿宋"/>
          <w:kern w:val="2"/>
          <w:sz w:val="24"/>
          <w:szCs w:val="24"/>
          <w:lang w:val="en-US" w:eastAsia="zh-CN"/>
        </w:rPr>
      </w:pPr>
    </w:p>
    <w:p w14:paraId="71A0CDBE">
      <w:pPr>
        <w:wordWrap w:val="0"/>
        <w:snapToGrid w:val="0"/>
        <w:spacing w:line="240" w:lineRule="atLeast"/>
        <w:ind w:firstLine="560"/>
        <w:jc w:val="right"/>
        <w:rPr>
          <w:rFonts w:hint="eastAsia" w:ascii="仿宋" w:hAnsi="仿宋" w:eastAsia="仿宋" w:cs="仿宋"/>
          <w:kern w:val="2"/>
          <w:sz w:val="24"/>
          <w:szCs w:val="24"/>
          <w:lang w:val="en-US" w:eastAsia="zh-CN"/>
        </w:rPr>
      </w:pPr>
    </w:p>
    <w:p w14:paraId="08CB76D6">
      <w:pPr>
        <w:wordWrap w:val="0"/>
        <w:snapToGrid w:val="0"/>
        <w:spacing w:line="240" w:lineRule="atLeast"/>
        <w:ind w:firstLine="560"/>
        <w:jc w:val="right"/>
        <w:rPr>
          <w:rFonts w:hint="eastAsia" w:ascii="仿宋" w:hAnsi="仿宋" w:eastAsia="仿宋" w:cs="仿宋"/>
          <w:kern w:val="2"/>
          <w:sz w:val="24"/>
          <w:szCs w:val="24"/>
          <w:lang w:val="en-US" w:eastAsia="zh-CN"/>
        </w:rPr>
      </w:pPr>
    </w:p>
    <w:p w14:paraId="6E765507">
      <w:pPr>
        <w:wordWrap w:val="0"/>
        <w:snapToGrid w:val="0"/>
        <w:spacing w:line="240" w:lineRule="atLeast"/>
        <w:ind w:firstLine="560"/>
        <w:jc w:val="right"/>
        <w:rPr>
          <w:rFonts w:hint="eastAsia" w:ascii="仿宋" w:hAnsi="仿宋" w:eastAsia="仿宋" w:cs="仿宋"/>
          <w:kern w:val="2"/>
          <w:sz w:val="24"/>
          <w:szCs w:val="24"/>
          <w:lang w:val="en-US" w:eastAsia="zh-CN"/>
        </w:rPr>
      </w:pPr>
    </w:p>
    <w:p w14:paraId="1F6DA9AB">
      <w:pPr>
        <w:wordWrap w:val="0"/>
        <w:snapToGrid w:val="0"/>
        <w:spacing w:line="240" w:lineRule="atLeast"/>
        <w:ind w:firstLine="560"/>
        <w:jc w:val="right"/>
        <w:rPr>
          <w:rFonts w:hint="eastAsia" w:ascii="仿宋" w:hAnsi="仿宋" w:eastAsia="仿宋" w:cs="仿宋"/>
          <w:kern w:val="2"/>
          <w:sz w:val="24"/>
          <w:szCs w:val="24"/>
          <w:lang w:val="en-US" w:eastAsia="zh-CN"/>
        </w:rPr>
      </w:pPr>
    </w:p>
    <w:p w14:paraId="3DC16181">
      <w:pPr>
        <w:wordWrap w:val="0"/>
        <w:snapToGrid w:val="0"/>
        <w:spacing w:line="240" w:lineRule="atLeast"/>
        <w:ind w:firstLine="560"/>
        <w:jc w:val="right"/>
        <w:rPr>
          <w:rFonts w:hint="eastAsia" w:ascii="仿宋" w:hAnsi="仿宋" w:eastAsia="仿宋" w:cs="仿宋"/>
          <w:kern w:val="2"/>
          <w:sz w:val="24"/>
          <w:szCs w:val="24"/>
          <w:lang w:val="en-US" w:eastAsia="zh-CN"/>
        </w:rPr>
      </w:pPr>
    </w:p>
    <w:p w14:paraId="554B4B72">
      <w:pPr>
        <w:wordWrap w:val="0"/>
        <w:snapToGrid w:val="0"/>
        <w:spacing w:line="240" w:lineRule="atLeast"/>
        <w:ind w:firstLine="560"/>
        <w:jc w:val="right"/>
        <w:rPr>
          <w:rFonts w:hint="eastAsia" w:ascii="仿宋" w:hAnsi="仿宋" w:eastAsia="仿宋" w:cs="仿宋"/>
          <w:kern w:val="2"/>
          <w:sz w:val="24"/>
          <w:szCs w:val="24"/>
          <w:lang w:val="en-US" w:eastAsia="zh-CN"/>
        </w:rPr>
      </w:pPr>
    </w:p>
    <w:p w14:paraId="0BBF06BF">
      <w:pPr>
        <w:wordWrap w:val="0"/>
        <w:snapToGrid w:val="0"/>
        <w:spacing w:line="240" w:lineRule="atLeast"/>
        <w:ind w:firstLine="560"/>
        <w:jc w:val="right"/>
        <w:rPr>
          <w:rFonts w:hint="eastAsia" w:ascii="仿宋" w:hAnsi="仿宋" w:eastAsia="仿宋" w:cs="仿宋"/>
          <w:kern w:val="2"/>
          <w:sz w:val="24"/>
          <w:szCs w:val="24"/>
          <w:lang w:val="en-US" w:eastAsia="zh-CN"/>
        </w:rPr>
      </w:pPr>
    </w:p>
    <w:p w14:paraId="22E441B5">
      <w:pPr>
        <w:wordWrap w:val="0"/>
        <w:snapToGrid w:val="0"/>
        <w:spacing w:line="240" w:lineRule="atLeast"/>
        <w:ind w:firstLine="560"/>
        <w:jc w:val="right"/>
        <w:rPr>
          <w:rFonts w:hint="eastAsia" w:ascii="仿宋" w:hAnsi="仿宋" w:eastAsia="仿宋" w:cs="仿宋"/>
          <w:kern w:val="2"/>
          <w:sz w:val="24"/>
          <w:szCs w:val="24"/>
          <w:lang w:val="en-US" w:eastAsia="zh-CN"/>
        </w:rPr>
      </w:pPr>
    </w:p>
    <w:p w14:paraId="4A0FC23E">
      <w:pPr>
        <w:wordWrap w:val="0"/>
        <w:snapToGrid w:val="0"/>
        <w:spacing w:line="240" w:lineRule="atLeast"/>
        <w:ind w:firstLine="560"/>
        <w:jc w:val="right"/>
        <w:rPr>
          <w:rFonts w:hint="eastAsia" w:ascii="仿宋" w:hAnsi="仿宋" w:eastAsia="仿宋" w:cs="仿宋"/>
          <w:b/>
          <w:kern w:val="2"/>
          <w:sz w:val="24"/>
          <w:szCs w:val="24"/>
        </w:rPr>
      </w:pP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 xml:space="preserve"> </w:t>
      </w:r>
      <w:bookmarkStart w:id="43" w:name="_Toc528764806"/>
      <w:bookmarkStart w:id="44" w:name="_Toc24040912"/>
      <w:bookmarkStart w:id="45" w:name="_Toc24041007"/>
      <w:bookmarkStart w:id="46" w:name="_Toc15242"/>
      <w:r>
        <w:rPr>
          <w:rFonts w:hint="eastAsia" w:ascii="仿宋" w:hAnsi="仿宋" w:eastAsia="仿宋" w:cs="仿宋"/>
          <w:kern w:val="2"/>
          <w:sz w:val="24"/>
          <w:szCs w:val="24"/>
          <w:lang w:val="en-US" w:eastAsia="zh-CN"/>
        </w:rPr>
        <w:t xml:space="preserve">  </w:t>
      </w:r>
    </w:p>
    <w:p w14:paraId="4FE1E254">
      <w:pPr>
        <w:adjustRightInd w:val="0"/>
        <w:spacing w:before="320" w:line="300" w:lineRule="auto"/>
        <w:ind w:firstLine="4096" w:firstLineChars="1700"/>
        <w:outlineLvl w:val="0"/>
        <w:rPr>
          <w:rFonts w:hint="eastAsia" w:ascii="仿宋" w:hAnsi="仿宋" w:eastAsia="仿宋" w:cs="仿宋"/>
          <w:b/>
          <w:kern w:val="2"/>
          <w:sz w:val="24"/>
          <w:szCs w:val="24"/>
        </w:rPr>
      </w:pPr>
      <w:r>
        <w:rPr>
          <w:rFonts w:hint="eastAsia" w:ascii="仿宋" w:hAnsi="仿宋" w:eastAsia="仿宋" w:cs="仿宋"/>
          <w:b/>
          <w:kern w:val="2"/>
          <w:sz w:val="24"/>
          <w:szCs w:val="24"/>
        </w:rPr>
        <w:t>附件4</w:t>
      </w:r>
    </w:p>
    <w:p w14:paraId="6E242496">
      <w:pPr>
        <w:adjustRightInd w:val="0"/>
        <w:spacing w:before="320" w:line="300" w:lineRule="auto"/>
        <w:ind w:firstLine="4096" w:firstLineChars="1700"/>
        <w:outlineLvl w:val="0"/>
        <w:rPr>
          <w:rFonts w:hint="eastAsia" w:ascii="仿宋" w:hAnsi="仿宋" w:eastAsia="仿宋" w:cs="仿宋"/>
          <w:b/>
          <w:kern w:val="2"/>
          <w:sz w:val="24"/>
          <w:szCs w:val="24"/>
        </w:rPr>
      </w:pPr>
      <w:r>
        <w:rPr>
          <w:rFonts w:hint="eastAsia" w:ascii="仿宋" w:hAnsi="仿宋" w:eastAsia="仿宋" w:cs="仿宋"/>
          <w:b/>
          <w:kern w:val="2"/>
          <w:sz w:val="24"/>
          <w:szCs w:val="24"/>
        </w:rPr>
        <w:t>业绩一览表</w:t>
      </w:r>
      <w:bookmarkEnd w:id="43"/>
      <w:bookmarkEnd w:id="44"/>
      <w:bookmarkEnd w:id="45"/>
      <w:bookmarkEnd w:id="46"/>
    </w:p>
    <w:p w14:paraId="02154A78">
      <w:pPr>
        <w:adjustRightInd w:val="0"/>
        <w:spacing w:before="100" w:after="100" w:line="30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项目名称：</w:t>
      </w:r>
    </w:p>
    <w:p w14:paraId="3DBACF52">
      <w:pPr>
        <w:adjustRightInd w:val="0"/>
        <w:spacing w:before="100" w:after="100" w:line="30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项目编号：</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625"/>
        <w:gridCol w:w="2241"/>
        <w:gridCol w:w="1276"/>
        <w:gridCol w:w="1842"/>
        <w:gridCol w:w="1128"/>
      </w:tblGrid>
      <w:tr w14:paraId="0328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2BCF07B0">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完成</w:t>
            </w:r>
          </w:p>
          <w:p w14:paraId="1586C6D6">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时间</w:t>
            </w:r>
          </w:p>
        </w:tc>
        <w:tc>
          <w:tcPr>
            <w:tcW w:w="1625" w:type="dxa"/>
            <w:vAlign w:val="center"/>
          </w:tcPr>
          <w:p w14:paraId="58C4AF86">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业主单位</w:t>
            </w:r>
          </w:p>
        </w:tc>
        <w:tc>
          <w:tcPr>
            <w:tcW w:w="2241" w:type="dxa"/>
            <w:vAlign w:val="center"/>
          </w:tcPr>
          <w:p w14:paraId="6C34CB83">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项目概况</w:t>
            </w:r>
          </w:p>
        </w:tc>
        <w:tc>
          <w:tcPr>
            <w:tcW w:w="1276" w:type="dxa"/>
            <w:vAlign w:val="center"/>
          </w:tcPr>
          <w:p w14:paraId="5B10BE74">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项目</w:t>
            </w:r>
          </w:p>
          <w:p w14:paraId="2308E5A2">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负责人</w:t>
            </w:r>
          </w:p>
        </w:tc>
        <w:tc>
          <w:tcPr>
            <w:tcW w:w="1842" w:type="dxa"/>
            <w:vAlign w:val="center"/>
          </w:tcPr>
          <w:p w14:paraId="2A6DD7D5">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业主单位联系人及电话</w:t>
            </w:r>
          </w:p>
        </w:tc>
        <w:tc>
          <w:tcPr>
            <w:tcW w:w="1128" w:type="dxa"/>
            <w:vAlign w:val="center"/>
          </w:tcPr>
          <w:p w14:paraId="5403C490">
            <w:pPr>
              <w:snapToGrid w:val="0"/>
              <w:spacing w:line="240" w:lineRule="atLeast"/>
              <w:jc w:val="center"/>
              <w:rPr>
                <w:rFonts w:hint="eastAsia" w:ascii="仿宋" w:hAnsi="仿宋" w:eastAsia="仿宋" w:cs="仿宋"/>
                <w:sz w:val="24"/>
                <w:szCs w:val="24"/>
              </w:rPr>
            </w:pPr>
            <w:r>
              <w:rPr>
                <w:rFonts w:hint="eastAsia" w:ascii="仿宋" w:hAnsi="仿宋" w:eastAsia="仿宋" w:cs="仿宋"/>
                <w:sz w:val="24"/>
                <w:szCs w:val="24"/>
              </w:rPr>
              <w:t>备注</w:t>
            </w:r>
          </w:p>
        </w:tc>
      </w:tr>
      <w:tr w14:paraId="194C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5F57B4FA">
            <w:pPr>
              <w:snapToGrid w:val="0"/>
              <w:spacing w:line="240" w:lineRule="atLeast"/>
              <w:ind w:firstLine="560"/>
              <w:jc w:val="center"/>
              <w:rPr>
                <w:rFonts w:hint="eastAsia" w:ascii="仿宋" w:hAnsi="仿宋" w:eastAsia="仿宋" w:cs="仿宋"/>
                <w:sz w:val="24"/>
                <w:szCs w:val="24"/>
              </w:rPr>
            </w:pPr>
          </w:p>
        </w:tc>
        <w:tc>
          <w:tcPr>
            <w:tcW w:w="1625" w:type="dxa"/>
            <w:vAlign w:val="center"/>
          </w:tcPr>
          <w:p w14:paraId="58DC2721">
            <w:pPr>
              <w:snapToGrid w:val="0"/>
              <w:spacing w:line="240" w:lineRule="atLeast"/>
              <w:ind w:firstLine="560"/>
              <w:jc w:val="center"/>
              <w:rPr>
                <w:rFonts w:hint="eastAsia" w:ascii="仿宋" w:hAnsi="仿宋" w:eastAsia="仿宋" w:cs="仿宋"/>
                <w:sz w:val="24"/>
                <w:szCs w:val="24"/>
              </w:rPr>
            </w:pPr>
          </w:p>
        </w:tc>
        <w:tc>
          <w:tcPr>
            <w:tcW w:w="2241" w:type="dxa"/>
            <w:vAlign w:val="center"/>
          </w:tcPr>
          <w:p w14:paraId="440DBDF7">
            <w:pPr>
              <w:snapToGrid w:val="0"/>
              <w:spacing w:line="240" w:lineRule="atLeast"/>
              <w:ind w:firstLine="560"/>
              <w:jc w:val="center"/>
              <w:rPr>
                <w:rFonts w:hint="eastAsia" w:ascii="仿宋" w:hAnsi="仿宋" w:eastAsia="仿宋" w:cs="仿宋"/>
                <w:sz w:val="24"/>
                <w:szCs w:val="24"/>
              </w:rPr>
            </w:pPr>
          </w:p>
        </w:tc>
        <w:tc>
          <w:tcPr>
            <w:tcW w:w="1276" w:type="dxa"/>
            <w:vAlign w:val="center"/>
          </w:tcPr>
          <w:p w14:paraId="613AFAA4">
            <w:pPr>
              <w:snapToGrid w:val="0"/>
              <w:spacing w:line="240" w:lineRule="atLeast"/>
              <w:ind w:firstLine="560"/>
              <w:jc w:val="center"/>
              <w:rPr>
                <w:rFonts w:hint="eastAsia" w:ascii="仿宋" w:hAnsi="仿宋" w:eastAsia="仿宋" w:cs="仿宋"/>
                <w:sz w:val="24"/>
                <w:szCs w:val="24"/>
              </w:rPr>
            </w:pPr>
          </w:p>
        </w:tc>
        <w:tc>
          <w:tcPr>
            <w:tcW w:w="1842" w:type="dxa"/>
            <w:vAlign w:val="center"/>
          </w:tcPr>
          <w:p w14:paraId="46C432D0">
            <w:pPr>
              <w:snapToGrid w:val="0"/>
              <w:spacing w:line="240" w:lineRule="atLeast"/>
              <w:ind w:firstLine="560"/>
              <w:jc w:val="center"/>
              <w:rPr>
                <w:rFonts w:hint="eastAsia" w:ascii="仿宋" w:hAnsi="仿宋" w:eastAsia="仿宋" w:cs="仿宋"/>
                <w:sz w:val="24"/>
                <w:szCs w:val="24"/>
              </w:rPr>
            </w:pPr>
          </w:p>
        </w:tc>
        <w:tc>
          <w:tcPr>
            <w:tcW w:w="1128" w:type="dxa"/>
          </w:tcPr>
          <w:p w14:paraId="587FB387">
            <w:pPr>
              <w:snapToGrid w:val="0"/>
              <w:spacing w:line="240" w:lineRule="atLeast"/>
              <w:ind w:firstLine="560"/>
              <w:jc w:val="center"/>
              <w:rPr>
                <w:rFonts w:hint="eastAsia" w:ascii="仿宋" w:hAnsi="仿宋" w:eastAsia="仿宋" w:cs="仿宋"/>
                <w:sz w:val="24"/>
                <w:szCs w:val="24"/>
              </w:rPr>
            </w:pPr>
          </w:p>
        </w:tc>
      </w:tr>
      <w:tr w14:paraId="78BA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6371F8DE">
            <w:pPr>
              <w:snapToGrid w:val="0"/>
              <w:spacing w:line="240" w:lineRule="atLeast"/>
              <w:ind w:firstLine="560"/>
              <w:jc w:val="center"/>
              <w:rPr>
                <w:rFonts w:hint="eastAsia" w:ascii="仿宋" w:hAnsi="仿宋" w:eastAsia="仿宋" w:cs="仿宋"/>
                <w:sz w:val="24"/>
                <w:szCs w:val="24"/>
              </w:rPr>
            </w:pPr>
          </w:p>
        </w:tc>
        <w:tc>
          <w:tcPr>
            <w:tcW w:w="1625" w:type="dxa"/>
            <w:vAlign w:val="center"/>
          </w:tcPr>
          <w:p w14:paraId="4937E095">
            <w:pPr>
              <w:snapToGrid w:val="0"/>
              <w:spacing w:line="240" w:lineRule="atLeast"/>
              <w:ind w:firstLine="560"/>
              <w:jc w:val="center"/>
              <w:rPr>
                <w:rFonts w:hint="eastAsia" w:ascii="仿宋" w:hAnsi="仿宋" w:eastAsia="仿宋" w:cs="仿宋"/>
                <w:sz w:val="24"/>
                <w:szCs w:val="24"/>
              </w:rPr>
            </w:pPr>
          </w:p>
        </w:tc>
        <w:tc>
          <w:tcPr>
            <w:tcW w:w="2241" w:type="dxa"/>
            <w:vAlign w:val="center"/>
          </w:tcPr>
          <w:p w14:paraId="310F941F">
            <w:pPr>
              <w:snapToGrid w:val="0"/>
              <w:spacing w:line="240" w:lineRule="atLeast"/>
              <w:ind w:firstLine="560"/>
              <w:jc w:val="center"/>
              <w:rPr>
                <w:rFonts w:hint="eastAsia" w:ascii="仿宋" w:hAnsi="仿宋" w:eastAsia="仿宋" w:cs="仿宋"/>
                <w:sz w:val="24"/>
                <w:szCs w:val="24"/>
              </w:rPr>
            </w:pPr>
          </w:p>
        </w:tc>
        <w:tc>
          <w:tcPr>
            <w:tcW w:w="1276" w:type="dxa"/>
            <w:vAlign w:val="center"/>
          </w:tcPr>
          <w:p w14:paraId="2B37BBEB">
            <w:pPr>
              <w:snapToGrid w:val="0"/>
              <w:spacing w:line="240" w:lineRule="atLeast"/>
              <w:ind w:firstLine="560"/>
              <w:jc w:val="center"/>
              <w:rPr>
                <w:rFonts w:hint="eastAsia" w:ascii="仿宋" w:hAnsi="仿宋" w:eastAsia="仿宋" w:cs="仿宋"/>
                <w:sz w:val="24"/>
                <w:szCs w:val="24"/>
              </w:rPr>
            </w:pPr>
          </w:p>
        </w:tc>
        <w:tc>
          <w:tcPr>
            <w:tcW w:w="1842" w:type="dxa"/>
            <w:vAlign w:val="center"/>
          </w:tcPr>
          <w:p w14:paraId="4694A990">
            <w:pPr>
              <w:snapToGrid w:val="0"/>
              <w:spacing w:line="240" w:lineRule="atLeast"/>
              <w:ind w:firstLine="560"/>
              <w:jc w:val="center"/>
              <w:rPr>
                <w:rFonts w:hint="eastAsia" w:ascii="仿宋" w:hAnsi="仿宋" w:eastAsia="仿宋" w:cs="仿宋"/>
                <w:sz w:val="24"/>
                <w:szCs w:val="24"/>
              </w:rPr>
            </w:pPr>
          </w:p>
        </w:tc>
        <w:tc>
          <w:tcPr>
            <w:tcW w:w="1128" w:type="dxa"/>
          </w:tcPr>
          <w:p w14:paraId="1E7FD552">
            <w:pPr>
              <w:snapToGrid w:val="0"/>
              <w:spacing w:line="240" w:lineRule="atLeast"/>
              <w:ind w:firstLine="560"/>
              <w:jc w:val="center"/>
              <w:rPr>
                <w:rFonts w:hint="eastAsia" w:ascii="仿宋" w:hAnsi="仿宋" w:eastAsia="仿宋" w:cs="仿宋"/>
                <w:sz w:val="24"/>
                <w:szCs w:val="24"/>
              </w:rPr>
            </w:pPr>
          </w:p>
        </w:tc>
      </w:tr>
      <w:tr w14:paraId="3229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21263ABA">
            <w:pPr>
              <w:snapToGrid w:val="0"/>
              <w:spacing w:line="240" w:lineRule="atLeast"/>
              <w:ind w:firstLine="560"/>
              <w:jc w:val="center"/>
              <w:rPr>
                <w:rFonts w:hint="eastAsia" w:ascii="仿宋" w:hAnsi="仿宋" w:eastAsia="仿宋" w:cs="仿宋"/>
                <w:sz w:val="24"/>
                <w:szCs w:val="24"/>
              </w:rPr>
            </w:pPr>
          </w:p>
        </w:tc>
        <w:tc>
          <w:tcPr>
            <w:tcW w:w="1625" w:type="dxa"/>
            <w:vAlign w:val="center"/>
          </w:tcPr>
          <w:p w14:paraId="1A6001AA">
            <w:pPr>
              <w:snapToGrid w:val="0"/>
              <w:spacing w:line="240" w:lineRule="atLeast"/>
              <w:ind w:firstLine="560"/>
              <w:jc w:val="center"/>
              <w:rPr>
                <w:rFonts w:hint="eastAsia" w:ascii="仿宋" w:hAnsi="仿宋" w:eastAsia="仿宋" w:cs="仿宋"/>
                <w:sz w:val="24"/>
                <w:szCs w:val="24"/>
              </w:rPr>
            </w:pPr>
          </w:p>
        </w:tc>
        <w:tc>
          <w:tcPr>
            <w:tcW w:w="2241" w:type="dxa"/>
            <w:vAlign w:val="center"/>
          </w:tcPr>
          <w:p w14:paraId="5DCE7964">
            <w:pPr>
              <w:snapToGrid w:val="0"/>
              <w:spacing w:line="240" w:lineRule="atLeast"/>
              <w:ind w:firstLine="560"/>
              <w:jc w:val="center"/>
              <w:rPr>
                <w:rFonts w:hint="eastAsia" w:ascii="仿宋" w:hAnsi="仿宋" w:eastAsia="仿宋" w:cs="仿宋"/>
                <w:sz w:val="24"/>
                <w:szCs w:val="24"/>
              </w:rPr>
            </w:pPr>
          </w:p>
        </w:tc>
        <w:tc>
          <w:tcPr>
            <w:tcW w:w="1276" w:type="dxa"/>
            <w:vAlign w:val="center"/>
          </w:tcPr>
          <w:p w14:paraId="294FC618">
            <w:pPr>
              <w:snapToGrid w:val="0"/>
              <w:spacing w:line="240" w:lineRule="atLeast"/>
              <w:ind w:firstLine="560"/>
              <w:jc w:val="center"/>
              <w:rPr>
                <w:rFonts w:hint="eastAsia" w:ascii="仿宋" w:hAnsi="仿宋" w:eastAsia="仿宋" w:cs="仿宋"/>
                <w:sz w:val="24"/>
                <w:szCs w:val="24"/>
              </w:rPr>
            </w:pPr>
          </w:p>
        </w:tc>
        <w:tc>
          <w:tcPr>
            <w:tcW w:w="1842" w:type="dxa"/>
            <w:vAlign w:val="center"/>
          </w:tcPr>
          <w:p w14:paraId="538FA512">
            <w:pPr>
              <w:snapToGrid w:val="0"/>
              <w:spacing w:line="240" w:lineRule="atLeast"/>
              <w:ind w:firstLine="560"/>
              <w:jc w:val="center"/>
              <w:rPr>
                <w:rFonts w:hint="eastAsia" w:ascii="仿宋" w:hAnsi="仿宋" w:eastAsia="仿宋" w:cs="仿宋"/>
                <w:sz w:val="24"/>
                <w:szCs w:val="24"/>
              </w:rPr>
            </w:pPr>
          </w:p>
        </w:tc>
        <w:tc>
          <w:tcPr>
            <w:tcW w:w="1128" w:type="dxa"/>
          </w:tcPr>
          <w:p w14:paraId="0CE91F99">
            <w:pPr>
              <w:snapToGrid w:val="0"/>
              <w:spacing w:line="240" w:lineRule="atLeast"/>
              <w:ind w:firstLine="560"/>
              <w:jc w:val="center"/>
              <w:rPr>
                <w:rFonts w:hint="eastAsia" w:ascii="仿宋" w:hAnsi="仿宋" w:eastAsia="仿宋" w:cs="仿宋"/>
                <w:sz w:val="24"/>
                <w:szCs w:val="24"/>
              </w:rPr>
            </w:pPr>
          </w:p>
        </w:tc>
      </w:tr>
      <w:tr w14:paraId="3DF9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18BED074">
            <w:pPr>
              <w:snapToGrid w:val="0"/>
              <w:spacing w:line="240" w:lineRule="atLeast"/>
              <w:ind w:firstLine="560"/>
              <w:jc w:val="center"/>
              <w:rPr>
                <w:rFonts w:hint="eastAsia" w:ascii="仿宋" w:hAnsi="仿宋" w:eastAsia="仿宋" w:cs="仿宋"/>
                <w:sz w:val="24"/>
                <w:szCs w:val="24"/>
              </w:rPr>
            </w:pPr>
          </w:p>
        </w:tc>
        <w:tc>
          <w:tcPr>
            <w:tcW w:w="1625" w:type="dxa"/>
            <w:vAlign w:val="center"/>
          </w:tcPr>
          <w:p w14:paraId="300867FC">
            <w:pPr>
              <w:snapToGrid w:val="0"/>
              <w:spacing w:line="240" w:lineRule="atLeast"/>
              <w:ind w:firstLine="560"/>
              <w:jc w:val="center"/>
              <w:rPr>
                <w:rFonts w:hint="eastAsia" w:ascii="仿宋" w:hAnsi="仿宋" w:eastAsia="仿宋" w:cs="仿宋"/>
                <w:sz w:val="24"/>
                <w:szCs w:val="24"/>
              </w:rPr>
            </w:pPr>
          </w:p>
        </w:tc>
        <w:tc>
          <w:tcPr>
            <w:tcW w:w="2241" w:type="dxa"/>
            <w:vAlign w:val="center"/>
          </w:tcPr>
          <w:p w14:paraId="2D5F9E82">
            <w:pPr>
              <w:snapToGrid w:val="0"/>
              <w:spacing w:line="240" w:lineRule="atLeast"/>
              <w:ind w:firstLine="560"/>
              <w:jc w:val="center"/>
              <w:rPr>
                <w:rFonts w:hint="eastAsia" w:ascii="仿宋" w:hAnsi="仿宋" w:eastAsia="仿宋" w:cs="仿宋"/>
                <w:sz w:val="24"/>
                <w:szCs w:val="24"/>
              </w:rPr>
            </w:pPr>
          </w:p>
        </w:tc>
        <w:tc>
          <w:tcPr>
            <w:tcW w:w="1276" w:type="dxa"/>
            <w:vAlign w:val="center"/>
          </w:tcPr>
          <w:p w14:paraId="0EB2A429">
            <w:pPr>
              <w:snapToGrid w:val="0"/>
              <w:spacing w:line="240" w:lineRule="atLeast"/>
              <w:ind w:firstLine="560"/>
              <w:jc w:val="center"/>
              <w:rPr>
                <w:rFonts w:hint="eastAsia" w:ascii="仿宋" w:hAnsi="仿宋" w:eastAsia="仿宋" w:cs="仿宋"/>
                <w:sz w:val="24"/>
                <w:szCs w:val="24"/>
              </w:rPr>
            </w:pPr>
          </w:p>
        </w:tc>
        <w:tc>
          <w:tcPr>
            <w:tcW w:w="1842" w:type="dxa"/>
            <w:vAlign w:val="center"/>
          </w:tcPr>
          <w:p w14:paraId="43355B97">
            <w:pPr>
              <w:snapToGrid w:val="0"/>
              <w:spacing w:line="240" w:lineRule="atLeast"/>
              <w:ind w:firstLine="560"/>
              <w:jc w:val="center"/>
              <w:rPr>
                <w:rFonts w:hint="eastAsia" w:ascii="仿宋" w:hAnsi="仿宋" w:eastAsia="仿宋" w:cs="仿宋"/>
                <w:sz w:val="24"/>
                <w:szCs w:val="24"/>
              </w:rPr>
            </w:pPr>
          </w:p>
        </w:tc>
        <w:tc>
          <w:tcPr>
            <w:tcW w:w="1128" w:type="dxa"/>
          </w:tcPr>
          <w:p w14:paraId="218D691F">
            <w:pPr>
              <w:snapToGrid w:val="0"/>
              <w:spacing w:line="240" w:lineRule="atLeast"/>
              <w:ind w:firstLine="560"/>
              <w:jc w:val="center"/>
              <w:rPr>
                <w:rFonts w:hint="eastAsia" w:ascii="仿宋" w:hAnsi="仿宋" w:eastAsia="仿宋" w:cs="仿宋"/>
                <w:sz w:val="24"/>
                <w:szCs w:val="24"/>
              </w:rPr>
            </w:pPr>
          </w:p>
        </w:tc>
      </w:tr>
      <w:tr w14:paraId="469D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5B4E53BE">
            <w:pPr>
              <w:snapToGrid w:val="0"/>
              <w:spacing w:line="240" w:lineRule="atLeast"/>
              <w:ind w:firstLine="560"/>
              <w:jc w:val="center"/>
              <w:rPr>
                <w:rFonts w:hint="eastAsia" w:ascii="仿宋" w:hAnsi="仿宋" w:eastAsia="仿宋" w:cs="仿宋"/>
                <w:sz w:val="24"/>
                <w:szCs w:val="24"/>
              </w:rPr>
            </w:pPr>
          </w:p>
        </w:tc>
        <w:tc>
          <w:tcPr>
            <w:tcW w:w="1625" w:type="dxa"/>
            <w:vAlign w:val="center"/>
          </w:tcPr>
          <w:p w14:paraId="10EB90D6">
            <w:pPr>
              <w:snapToGrid w:val="0"/>
              <w:spacing w:line="240" w:lineRule="atLeast"/>
              <w:ind w:firstLine="560"/>
              <w:jc w:val="center"/>
              <w:rPr>
                <w:rFonts w:hint="eastAsia" w:ascii="仿宋" w:hAnsi="仿宋" w:eastAsia="仿宋" w:cs="仿宋"/>
                <w:sz w:val="24"/>
                <w:szCs w:val="24"/>
              </w:rPr>
            </w:pPr>
          </w:p>
        </w:tc>
        <w:tc>
          <w:tcPr>
            <w:tcW w:w="2241" w:type="dxa"/>
            <w:vAlign w:val="center"/>
          </w:tcPr>
          <w:p w14:paraId="26F5CA9C">
            <w:pPr>
              <w:snapToGrid w:val="0"/>
              <w:spacing w:line="240" w:lineRule="atLeast"/>
              <w:ind w:firstLine="560"/>
              <w:jc w:val="center"/>
              <w:rPr>
                <w:rFonts w:hint="eastAsia" w:ascii="仿宋" w:hAnsi="仿宋" w:eastAsia="仿宋" w:cs="仿宋"/>
                <w:sz w:val="24"/>
                <w:szCs w:val="24"/>
              </w:rPr>
            </w:pPr>
          </w:p>
        </w:tc>
        <w:tc>
          <w:tcPr>
            <w:tcW w:w="1276" w:type="dxa"/>
            <w:vAlign w:val="center"/>
          </w:tcPr>
          <w:p w14:paraId="62FFBEC1">
            <w:pPr>
              <w:snapToGrid w:val="0"/>
              <w:spacing w:line="240" w:lineRule="atLeast"/>
              <w:ind w:firstLine="560"/>
              <w:jc w:val="center"/>
              <w:rPr>
                <w:rFonts w:hint="eastAsia" w:ascii="仿宋" w:hAnsi="仿宋" w:eastAsia="仿宋" w:cs="仿宋"/>
                <w:sz w:val="24"/>
                <w:szCs w:val="24"/>
              </w:rPr>
            </w:pPr>
          </w:p>
        </w:tc>
        <w:tc>
          <w:tcPr>
            <w:tcW w:w="1842" w:type="dxa"/>
            <w:vAlign w:val="center"/>
          </w:tcPr>
          <w:p w14:paraId="05A966AF">
            <w:pPr>
              <w:snapToGrid w:val="0"/>
              <w:spacing w:line="240" w:lineRule="atLeast"/>
              <w:ind w:firstLine="560"/>
              <w:jc w:val="center"/>
              <w:rPr>
                <w:rFonts w:hint="eastAsia" w:ascii="仿宋" w:hAnsi="仿宋" w:eastAsia="仿宋" w:cs="仿宋"/>
                <w:sz w:val="24"/>
                <w:szCs w:val="24"/>
              </w:rPr>
            </w:pPr>
          </w:p>
        </w:tc>
        <w:tc>
          <w:tcPr>
            <w:tcW w:w="1128" w:type="dxa"/>
          </w:tcPr>
          <w:p w14:paraId="2D150B72">
            <w:pPr>
              <w:snapToGrid w:val="0"/>
              <w:spacing w:line="240" w:lineRule="atLeast"/>
              <w:ind w:firstLine="560"/>
              <w:jc w:val="center"/>
              <w:rPr>
                <w:rFonts w:hint="eastAsia" w:ascii="仿宋" w:hAnsi="仿宋" w:eastAsia="仿宋" w:cs="仿宋"/>
                <w:sz w:val="24"/>
                <w:szCs w:val="24"/>
              </w:rPr>
            </w:pPr>
          </w:p>
        </w:tc>
      </w:tr>
      <w:tr w14:paraId="6426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4674047C">
            <w:pPr>
              <w:snapToGrid w:val="0"/>
              <w:spacing w:line="240" w:lineRule="atLeast"/>
              <w:ind w:firstLine="560"/>
              <w:jc w:val="center"/>
              <w:rPr>
                <w:rFonts w:hint="eastAsia" w:ascii="仿宋" w:hAnsi="仿宋" w:eastAsia="仿宋" w:cs="仿宋"/>
                <w:sz w:val="24"/>
                <w:szCs w:val="24"/>
              </w:rPr>
            </w:pPr>
          </w:p>
        </w:tc>
        <w:tc>
          <w:tcPr>
            <w:tcW w:w="1625" w:type="dxa"/>
            <w:vAlign w:val="center"/>
          </w:tcPr>
          <w:p w14:paraId="78DB77E3">
            <w:pPr>
              <w:snapToGrid w:val="0"/>
              <w:spacing w:line="240" w:lineRule="atLeast"/>
              <w:ind w:firstLine="560"/>
              <w:jc w:val="center"/>
              <w:rPr>
                <w:rFonts w:hint="eastAsia" w:ascii="仿宋" w:hAnsi="仿宋" w:eastAsia="仿宋" w:cs="仿宋"/>
                <w:sz w:val="24"/>
                <w:szCs w:val="24"/>
              </w:rPr>
            </w:pPr>
          </w:p>
        </w:tc>
        <w:tc>
          <w:tcPr>
            <w:tcW w:w="2241" w:type="dxa"/>
            <w:vAlign w:val="center"/>
          </w:tcPr>
          <w:p w14:paraId="0666D95E">
            <w:pPr>
              <w:snapToGrid w:val="0"/>
              <w:spacing w:line="240" w:lineRule="atLeast"/>
              <w:ind w:firstLine="560"/>
              <w:jc w:val="center"/>
              <w:rPr>
                <w:rFonts w:hint="eastAsia" w:ascii="仿宋" w:hAnsi="仿宋" w:eastAsia="仿宋" w:cs="仿宋"/>
                <w:sz w:val="24"/>
                <w:szCs w:val="24"/>
              </w:rPr>
            </w:pPr>
          </w:p>
        </w:tc>
        <w:tc>
          <w:tcPr>
            <w:tcW w:w="1276" w:type="dxa"/>
            <w:vAlign w:val="center"/>
          </w:tcPr>
          <w:p w14:paraId="4FC65026">
            <w:pPr>
              <w:snapToGrid w:val="0"/>
              <w:spacing w:line="240" w:lineRule="atLeast"/>
              <w:ind w:firstLine="560"/>
              <w:jc w:val="center"/>
              <w:rPr>
                <w:rFonts w:hint="eastAsia" w:ascii="仿宋" w:hAnsi="仿宋" w:eastAsia="仿宋" w:cs="仿宋"/>
                <w:sz w:val="24"/>
                <w:szCs w:val="24"/>
              </w:rPr>
            </w:pPr>
          </w:p>
        </w:tc>
        <w:tc>
          <w:tcPr>
            <w:tcW w:w="1842" w:type="dxa"/>
            <w:vAlign w:val="center"/>
          </w:tcPr>
          <w:p w14:paraId="04456EB7">
            <w:pPr>
              <w:snapToGrid w:val="0"/>
              <w:spacing w:line="240" w:lineRule="atLeast"/>
              <w:ind w:firstLine="560"/>
              <w:jc w:val="center"/>
              <w:rPr>
                <w:rFonts w:hint="eastAsia" w:ascii="仿宋" w:hAnsi="仿宋" w:eastAsia="仿宋" w:cs="仿宋"/>
                <w:sz w:val="24"/>
                <w:szCs w:val="24"/>
              </w:rPr>
            </w:pPr>
          </w:p>
        </w:tc>
        <w:tc>
          <w:tcPr>
            <w:tcW w:w="1128" w:type="dxa"/>
          </w:tcPr>
          <w:p w14:paraId="774F58E7">
            <w:pPr>
              <w:snapToGrid w:val="0"/>
              <w:spacing w:line="240" w:lineRule="atLeast"/>
              <w:ind w:firstLine="560"/>
              <w:jc w:val="center"/>
              <w:rPr>
                <w:rFonts w:hint="eastAsia" w:ascii="仿宋" w:hAnsi="仿宋" w:eastAsia="仿宋" w:cs="仿宋"/>
                <w:sz w:val="24"/>
                <w:szCs w:val="24"/>
              </w:rPr>
            </w:pPr>
          </w:p>
        </w:tc>
      </w:tr>
      <w:tr w14:paraId="250D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 w:type="dxa"/>
            <w:vAlign w:val="center"/>
          </w:tcPr>
          <w:p w14:paraId="3AFA5F39">
            <w:pPr>
              <w:snapToGrid w:val="0"/>
              <w:spacing w:line="240" w:lineRule="atLeast"/>
              <w:ind w:firstLine="560"/>
              <w:jc w:val="center"/>
              <w:rPr>
                <w:rFonts w:hint="eastAsia" w:ascii="仿宋" w:hAnsi="仿宋" w:eastAsia="仿宋" w:cs="仿宋"/>
                <w:sz w:val="24"/>
                <w:szCs w:val="24"/>
              </w:rPr>
            </w:pPr>
            <w:r>
              <w:rPr>
                <w:rFonts w:hint="eastAsia" w:ascii="仿宋" w:hAnsi="仿宋" w:eastAsia="仿宋" w:cs="仿宋"/>
                <w:sz w:val="24"/>
                <w:szCs w:val="24"/>
              </w:rPr>
              <w:t>…</w:t>
            </w:r>
          </w:p>
        </w:tc>
        <w:tc>
          <w:tcPr>
            <w:tcW w:w="1625" w:type="dxa"/>
            <w:vAlign w:val="center"/>
          </w:tcPr>
          <w:p w14:paraId="19C12B07">
            <w:pPr>
              <w:snapToGrid w:val="0"/>
              <w:spacing w:line="240" w:lineRule="atLeast"/>
              <w:ind w:firstLine="560"/>
              <w:jc w:val="center"/>
              <w:rPr>
                <w:rFonts w:hint="eastAsia" w:ascii="仿宋" w:hAnsi="仿宋" w:eastAsia="仿宋" w:cs="仿宋"/>
                <w:sz w:val="24"/>
                <w:szCs w:val="24"/>
              </w:rPr>
            </w:pPr>
          </w:p>
        </w:tc>
        <w:tc>
          <w:tcPr>
            <w:tcW w:w="2241" w:type="dxa"/>
            <w:vAlign w:val="center"/>
          </w:tcPr>
          <w:p w14:paraId="417180C7">
            <w:pPr>
              <w:snapToGrid w:val="0"/>
              <w:spacing w:line="240" w:lineRule="atLeast"/>
              <w:ind w:firstLine="560"/>
              <w:jc w:val="center"/>
              <w:rPr>
                <w:rFonts w:hint="eastAsia" w:ascii="仿宋" w:hAnsi="仿宋" w:eastAsia="仿宋" w:cs="仿宋"/>
                <w:sz w:val="24"/>
                <w:szCs w:val="24"/>
              </w:rPr>
            </w:pPr>
          </w:p>
        </w:tc>
        <w:tc>
          <w:tcPr>
            <w:tcW w:w="1276" w:type="dxa"/>
            <w:vAlign w:val="center"/>
          </w:tcPr>
          <w:p w14:paraId="0BC9F85B">
            <w:pPr>
              <w:snapToGrid w:val="0"/>
              <w:spacing w:line="240" w:lineRule="atLeast"/>
              <w:ind w:firstLine="560"/>
              <w:jc w:val="center"/>
              <w:rPr>
                <w:rFonts w:hint="eastAsia" w:ascii="仿宋" w:hAnsi="仿宋" w:eastAsia="仿宋" w:cs="仿宋"/>
                <w:sz w:val="24"/>
                <w:szCs w:val="24"/>
              </w:rPr>
            </w:pPr>
          </w:p>
        </w:tc>
        <w:tc>
          <w:tcPr>
            <w:tcW w:w="1842" w:type="dxa"/>
            <w:vAlign w:val="center"/>
          </w:tcPr>
          <w:p w14:paraId="1FE95EA2">
            <w:pPr>
              <w:snapToGrid w:val="0"/>
              <w:spacing w:line="240" w:lineRule="atLeast"/>
              <w:ind w:firstLine="560"/>
              <w:jc w:val="center"/>
              <w:rPr>
                <w:rFonts w:hint="eastAsia" w:ascii="仿宋" w:hAnsi="仿宋" w:eastAsia="仿宋" w:cs="仿宋"/>
                <w:sz w:val="24"/>
                <w:szCs w:val="24"/>
              </w:rPr>
            </w:pPr>
          </w:p>
        </w:tc>
        <w:tc>
          <w:tcPr>
            <w:tcW w:w="1128" w:type="dxa"/>
          </w:tcPr>
          <w:p w14:paraId="29F3F65B">
            <w:pPr>
              <w:snapToGrid w:val="0"/>
              <w:spacing w:line="240" w:lineRule="atLeast"/>
              <w:ind w:firstLine="560"/>
              <w:jc w:val="center"/>
              <w:rPr>
                <w:rFonts w:hint="eastAsia" w:ascii="仿宋" w:hAnsi="仿宋" w:eastAsia="仿宋" w:cs="仿宋"/>
                <w:sz w:val="24"/>
                <w:szCs w:val="24"/>
              </w:rPr>
            </w:pPr>
          </w:p>
        </w:tc>
      </w:tr>
    </w:tbl>
    <w:p w14:paraId="4C496115">
      <w:pPr>
        <w:adjustRightInd w:val="0"/>
        <w:spacing w:before="100" w:after="100" w:line="300" w:lineRule="auto"/>
        <w:ind w:left="1380" w:leftChars="200" w:hanging="960" w:hangingChars="400"/>
        <w:rPr>
          <w:rFonts w:hint="eastAsia" w:ascii="仿宋" w:hAnsi="仿宋" w:eastAsia="仿宋" w:cs="仿宋"/>
          <w:kern w:val="2"/>
          <w:sz w:val="24"/>
          <w:szCs w:val="24"/>
        </w:rPr>
      </w:pPr>
      <w:r>
        <w:rPr>
          <w:rFonts w:hint="eastAsia" w:ascii="仿宋" w:hAnsi="仿宋" w:eastAsia="仿宋" w:cs="仿宋"/>
          <w:kern w:val="2"/>
          <w:sz w:val="24"/>
          <w:szCs w:val="24"/>
        </w:rPr>
        <w:t>说明：1、供应商应将类似项目业绩情况填入本表中。</w:t>
      </w:r>
    </w:p>
    <w:p w14:paraId="7E1811D9">
      <w:pPr>
        <w:adjustRightInd w:val="0"/>
        <w:spacing w:before="100" w:after="100" w:line="300" w:lineRule="auto"/>
        <w:ind w:left="840" w:leftChars="400"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2、项目概况包括：项目名称、合同额。</w:t>
      </w:r>
    </w:p>
    <w:p w14:paraId="3C2778FA">
      <w:pPr>
        <w:adjustRightInd w:val="0"/>
        <w:spacing w:before="100" w:after="100" w:line="300" w:lineRule="auto"/>
        <w:ind w:left="840" w:leftChars="400"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3、必须按要求附</w:t>
      </w:r>
      <w:r>
        <w:rPr>
          <w:rFonts w:hint="eastAsia" w:ascii="仿宋" w:hAnsi="仿宋" w:eastAsia="仿宋" w:cs="仿宋"/>
          <w:color w:val="auto"/>
          <w:kern w:val="2"/>
          <w:sz w:val="24"/>
          <w:szCs w:val="24"/>
          <w:lang w:val="en-US" w:eastAsia="zh-CN"/>
        </w:rPr>
        <w:t>中标（成交）通知书和</w:t>
      </w:r>
      <w:r>
        <w:rPr>
          <w:rFonts w:hint="eastAsia" w:ascii="仿宋" w:hAnsi="仿宋" w:eastAsia="仿宋" w:cs="仿宋"/>
          <w:kern w:val="2"/>
          <w:sz w:val="24"/>
          <w:szCs w:val="24"/>
        </w:rPr>
        <w:t>相关合同复印件等证明材料。</w:t>
      </w:r>
    </w:p>
    <w:p w14:paraId="04592387">
      <w:pPr>
        <w:adjustRightInd w:val="0"/>
        <w:spacing w:before="100" w:after="100" w:line="300" w:lineRule="auto"/>
        <w:ind w:left="840" w:leftChars="400"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4、业绩资料必须真实有效、无虚假。</w:t>
      </w:r>
    </w:p>
    <w:p w14:paraId="64BCD6BA">
      <w:pPr>
        <w:adjustRightInd w:val="0"/>
        <w:spacing w:before="100" w:after="100" w:line="300" w:lineRule="auto"/>
        <w:ind w:firstLine="482" w:firstLineChars="200"/>
        <w:rPr>
          <w:rFonts w:ascii="仿宋" w:hAnsi="仿宋" w:eastAsia="仿宋" w:cs="仿宋"/>
          <w:b/>
          <w:kern w:val="2"/>
          <w:sz w:val="24"/>
          <w:szCs w:val="24"/>
        </w:rPr>
      </w:pPr>
    </w:p>
    <w:p w14:paraId="64C79E45">
      <w:pPr>
        <w:adjustRightInd w:val="0"/>
        <w:spacing w:before="100" w:after="100" w:line="300" w:lineRule="auto"/>
        <w:ind w:firstLine="482" w:firstLineChars="200"/>
        <w:rPr>
          <w:rFonts w:ascii="仿宋" w:hAnsi="仿宋" w:eastAsia="仿宋" w:cs="仿宋"/>
          <w:b/>
          <w:kern w:val="2"/>
          <w:sz w:val="24"/>
          <w:szCs w:val="24"/>
        </w:rPr>
      </w:pPr>
    </w:p>
    <w:p w14:paraId="327FB75B">
      <w:pPr>
        <w:adjustRightInd w:val="0"/>
        <w:spacing w:before="100" w:after="100" w:line="300" w:lineRule="auto"/>
        <w:ind w:firstLine="482" w:firstLineChars="200"/>
        <w:rPr>
          <w:rFonts w:ascii="仿宋" w:hAnsi="仿宋" w:eastAsia="仿宋" w:cs="仿宋"/>
          <w:b/>
          <w:kern w:val="2"/>
          <w:sz w:val="24"/>
          <w:szCs w:val="24"/>
        </w:rPr>
      </w:pPr>
    </w:p>
    <w:p w14:paraId="31FA742D">
      <w:pPr>
        <w:adjustRightInd w:val="0"/>
        <w:spacing w:before="100" w:after="100" w:line="300" w:lineRule="auto"/>
        <w:ind w:firstLine="482" w:firstLineChars="200"/>
        <w:rPr>
          <w:rFonts w:ascii="仿宋" w:hAnsi="仿宋" w:eastAsia="仿宋" w:cs="仿宋"/>
          <w:b/>
          <w:kern w:val="2"/>
          <w:sz w:val="24"/>
          <w:szCs w:val="24"/>
        </w:rPr>
      </w:pPr>
    </w:p>
    <w:p w14:paraId="20C9C946">
      <w:pPr>
        <w:adjustRightInd w:val="0"/>
        <w:spacing w:before="100" w:after="100" w:line="300" w:lineRule="auto"/>
        <w:ind w:firstLine="482" w:firstLineChars="200"/>
        <w:rPr>
          <w:rFonts w:ascii="仿宋" w:hAnsi="仿宋" w:eastAsia="仿宋" w:cs="仿宋"/>
          <w:b/>
          <w:kern w:val="2"/>
          <w:sz w:val="24"/>
          <w:szCs w:val="24"/>
        </w:rPr>
      </w:pPr>
    </w:p>
    <w:p w14:paraId="7A6103EC">
      <w:pPr>
        <w:adjustRightInd w:val="0"/>
        <w:spacing w:before="100" w:after="100" w:line="300" w:lineRule="auto"/>
        <w:ind w:firstLine="482" w:firstLineChars="200"/>
        <w:rPr>
          <w:rFonts w:ascii="仿宋" w:hAnsi="仿宋" w:eastAsia="仿宋" w:cs="仿宋"/>
          <w:b/>
          <w:kern w:val="2"/>
          <w:sz w:val="24"/>
          <w:szCs w:val="24"/>
        </w:rPr>
      </w:pPr>
    </w:p>
    <w:p w14:paraId="4B0969A9">
      <w:pPr>
        <w:adjustRightInd w:val="0"/>
        <w:spacing w:before="100" w:after="100" w:line="300" w:lineRule="auto"/>
        <w:ind w:firstLine="482" w:firstLineChars="200"/>
        <w:rPr>
          <w:rFonts w:ascii="仿宋" w:hAnsi="仿宋" w:eastAsia="仿宋" w:cs="仿宋"/>
          <w:b/>
          <w:kern w:val="2"/>
          <w:sz w:val="24"/>
          <w:szCs w:val="24"/>
        </w:rPr>
      </w:pPr>
    </w:p>
    <w:p w14:paraId="6AA10DA7">
      <w:pPr>
        <w:adjustRightInd w:val="0"/>
        <w:spacing w:before="100" w:after="100" w:line="300" w:lineRule="auto"/>
        <w:ind w:firstLine="482" w:firstLineChars="200"/>
        <w:rPr>
          <w:rFonts w:ascii="仿宋" w:hAnsi="仿宋" w:eastAsia="仿宋" w:cs="仿宋"/>
          <w:b/>
          <w:kern w:val="2"/>
          <w:sz w:val="24"/>
          <w:szCs w:val="24"/>
        </w:rPr>
      </w:pPr>
    </w:p>
    <w:p w14:paraId="1DC28C7C">
      <w:pPr>
        <w:adjustRightInd w:val="0"/>
        <w:spacing w:before="100" w:after="100" w:line="300" w:lineRule="auto"/>
        <w:ind w:firstLine="482" w:firstLineChars="200"/>
        <w:rPr>
          <w:rFonts w:ascii="仿宋" w:hAnsi="仿宋" w:eastAsia="仿宋" w:cs="仿宋"/>
          <w:b/>
          <w:kern w:val="2"/>
          <w:sz w:val="24"/>
          <w:szCs w:val="24"/>
        </w:rPr>
      </w:pPr>
    </w:p>
    <w:p w14:paraId="794BE98E">
      <w:pPr>
        <w:adjustRightInd w:val="0"/>
        <w:spacing w:before="100" w:after="100" w:line="300" w:lineRule="auto"/>
        <w:ind w:firstLine="482" w:firstLineChars="200"/>
        <w:rPr>
          <w:rFonts w:ascii="仿宋" w:hAnsi="仿宋" w:eastAsia="仿宋" w:cs="仿宋"/>
          <w:b/>
          <w:kern w:val="2"/>
          <w:sz w:val="24"/>
          <w:szCs w:val="24"/>
        </w:rPr>
      </w:pPr>
    </w:p>
    <w:p w14:paraId="44A385E7">
      <w:pPr>
        <w:adjustRightInd w:val="0"/>
        <w:spacing w:before="100" w:after="100" w:line="300" w:lineRule="auto"/>
        <w:ind w:firstLine="482" w:firstLineChars="200"/>
        <w:rPr>
          <w:rFonts w:ascii="仿宋" w:hAnsi="仿宋" w:eastAsia="仿宋" w:cs="仿宋"/>
          <w:b/>
          <w:kern w:val="2"/>
          <w:sz w:val="24"/>
          <w:szCs w:val="24"/>
        </w:rPr>
      </w:pPr>
    </w:p>
    <w:p w14:paraId="196D95A2">
      <w:pPr>
        <w:adjustRightInd w:val="0"/>
        <w:spacing w:before="100" w:after="100" w:line="300" w:lineRule="auto"/>
        <w:ind w:firstLine="482" w:firstLineChars="200"/>
        <w:rPr>
          <w:rFonts w:ascii="仿宋" w:hAnsi="仿宋" w:eastAsia="仿宋" w:cs="仿宋"/>
          <w:b/>
          <w:kern w:val="2"/>
          <w:sz w:val="24"/>
          <w:szCs w:val="24"/>
        </w:rPr>
      </w:pPr>
    </w:p>
    <w:p w14:paraId="54E355C5">
      <w:pPr>
        <w:adjustRightInd w:val="0"/>
        <w:spacing w:before="100" w:after="100" w:line="300" w:lineRule="auto"/>
        <w:ind w:firstLine="482" w:firstLineChars="200"/>
        <w:rPr>
          <w:rFonts w:ascii="仿宋" w:hAnsi="仿宋" w:eastAsia="仿宋" w:cs="仿宋"/>
          <w:b/>
          <w:kern w:val="2"/>
          <w:sz w:val="24"/>
          <w:szCs w:val="24"/>
        </w:rPr>
      </w:pPr>
    </w:p>
    <w:p w14:paraId="53D097E5">
      <w:pPr>
        <w:adjustRightInd w:val="0"/>
        <w:spacing w:before="100" w:after="100" w:line="300" w:lineRule="auto"/>
        <w:ind w:firstLine="482" w:firstLineChars="200"/>
        <w:rPr>
          <w:rFonts w:ascii="仿宋" w:hAnsi="仿宋" w:eastAsia="仿宋" w:cs="仿宋"/>
          <w:b/>
          <w:kern w:val="2"/>
          <w:sz w:val="24"/>
          <w:szCs w:val="24"/>
        </w:rPr>
      </w:pPr>
    </w:p>
    <w:p w14:paraId="0897F063">
      <w:pPr>
        <w:adjustRightInd w:val="0"/>
        <w:spacing w:before="100" w:after="100" w:line="300" w:lineRule="auto"/>
        <w:ind w:firstLine="482" w:firstLineChars="200"/>
        <w:rPr>
          <w:rFonts w:hint="eastAsia" w:ascii="仿宋" w:hAnsi="仿宋" w:eastAsia="仿宋" w:cs="仿宋"/>
          <w:b/>
          <w:kern w:val="2"/>
          <w:sz w:val="24"/>
          <w:szCs w:val="24"/>
        </w:rPr>
      </w:pPr>
      <w:r>
        <w:rPr>
          <w:rFonts w:hint="eastAsia" w:ascii="仿宋" w:hAnsi="仿宋" w:eastAsia="仿宋" w:cs="仿宋"/>
          <w:b/>
          <w:kern w:val="2"/>
          <w:sz w:val="24"/>
          <w:szCs w:val="24"/>
        </w:rPr>
        <w:t>附件5</w:t>
      </w:r>
    </w:p>
    <w:p w14:paraId="0E89E359">
      <w:pPr>
        <w:adjustRightInd w:val="0"/>
        <w:spacing w:before="320" w:line="300" w:lineRule="auto"/>
        <w:ind w:firstLine="2409" w:firstLineChars="1000"/>
        <w:outlineLvl w:val="0"/>
        <w:rPr>
          <w:rFonts w:hint="eastAsia" w:ascii="仿宋" w:hAnsi="仿宋" w:eastAsia="仿宋" w:cs="仿宋"/>
          <w:b/>
          <w:kern w:val="2"/>
          <w:sz w:val="24"/>
          <w:szCs w:val="24"/>
        </w:rPr>
      </w:pPr>
      <w:r>
        <w:rPr>
          <w:rFonts w:hint="eastAsia" w:ascii="仿宋" w:hAnsi="仿宋" w:eastAsia="仿宋" w:cs="仿宋"/>
          <w:b/>
          <w:kern w:val="2"/>
          <w:sz w:val="24"/>
          <w:szCs w:val="24"/>
        </w:rPr>
        <w:t>无重大违法记录声明（承诺书）</w:t>
      </w:r>
    </w:p>
    <w:p w14:paraId="29166BFD">
      <w:pPr>
        <w:snapToGrid w:val="0"/>
        <w:spacing w:line="240" w:lineRule="atLeast"/>
        <w:ind w:firstLine="480" w:firstLineChars="200"/>
        <w:jc w:val="center"/>
        <w:rPr>
          <w:rFonts w:hint="eastAsia" w:ascii="仿宋" w:hAnsi="仿宋" w:eastAsia="仿宋" w:cs="仿宋"/>
          <w:kern w:val="2"/>
          <w:sz w:val="24"/>
          <w:szCs w:val="24"/>
        </w:rPr>
      </w:pPr>
      <w:r>
        <w:rPr>
          <w:rFonts w:hint="eastAsia" w:ascii="仿宋" w:hAnsi="仿宋" w:eastAsia="仿宋" w:cs="仿宋"/>
          <w:kern w:val="2"/>
          <w:sz w:val="24"/>
          <w:szCs w:val="24"/>
        </w:rPr>
        <w:t>（供应商应根据本单位实际情况进行声明）</w:t>
      </w:r>
    </w:p>
    <w:p w14:paraId="7870BD46">
      <w:pPr>
        <w:adjustRightInd w:val="0"/>
        <w:spacing w:after="120" w:line="360" w:lineRule="auto"/>
        <w:rPr>
          <w:rFonts w:hint="eastAsia" w:ascii="仿宋" w:hAnsi="仿宋" w:eastAsia="仿宋" w:cs="仿宋"/>
          <w:kern w:val="2"/>
          <w:sz w:val="24"/>
          <w:szCs w:val="24"/>
        </w:rPr>
      </w:pPr>
      <w:r>
        <w:rPr>
          <w:rFonts w:hint="eastAsia" w:ascii="仿宋" w:hAnsi="仿宋" w:eastAsia="仿宋" w:cs="仿宋"/>
          <w:kern w:val="2"/>
          <w:sz w:val="24"/>
          <w:szCs w:val="24"/>
        </w:rPr>
        <w:t>___________（采购方）：</w:t>
      </w:r>
    </w:p>
    <w:p w14:paraId="3DDA488A">
      <w:pPr>
        <w:adjustRightInd w:val="0"/>
        <w:spacing w:before="100" w:after="100" w:line="30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我方在此声明，我方在参加本次报价前三年内，在经营活动中没有以下重大违法记录：</w:t>
      </w:r>
    </w:p>
    <w:p w14:paraId="622EE37E">
      <w:pPr>
        <w:numPr>
          <w:ilvl w:val="0"/>
          <w:numId w:val="6"/>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我方因违法经营被追究过刑事责任；</w:t>
      </w:r>
    </w:p>
    <w:p w14:paraId="0FF99F9B">
      <w:pPr>
        <w:numPr>
          <w:ilvl w:val="0"/>
          <w:numId w:val="6"/>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我方因违法经营被责令停产停业、吊销许可证或者执照；</w:t>
      </w:r>
    </w:p>
    <w:p w14:paraId="1731AE8C">
      <w:pPr>
        <w:numPr>
          <w:ilvl w:val="0"/>
          <w:numId w:val="6"/>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我方因违法经营被处以较大数额罚款等行政处罚。</w:t>
      </w:r>
    </w:p>
    <w:p w14:paraId="17E6ADEB">
      <w:pPr>
        <w:numPr>
          <w:ilvl w:val="0"/>
          <w:numId w:val="6"/>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我方保证上述信息的完整、客观、真实、准确，并愿意承担我方因提供虚假材料谋骗取成交所引起的一切法律后果。</w:t>
      </w:r>
    </w:p>
    <w:p w14:paraId="7BFD0FD7">
      <w:pPr>
        <w:numPr>
          <w:ilvl w:val="0"/>
          <w:numId w:val="6"/>
        </w:numPr>
        <w:adjustRightInd w:val="0"/>
        <w:spacing w:before="100" w:after="100" w:line="30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特此声明！</w:t>
      </w:r>
    </w:p>
    <w:p w14:paraId="144D6022">
      <w:pPr>
        <w:snapToGrid w:val="0"/>
        <w:spacing w:line="240" w:lineRule="atLeast"/>
        <w:ind w:firstLine="560"/>
        <w:jc w:val="right"/>
        <w:rPr>
          <w:rFonts w:hint="eastAsia" w:ascii="仿宋" w:hAnsi="仿宋" w:eastAsia="仿宋" w:cs="仿宋"/>
          <w:kern w:val="2"/>
          <w:sz w:val="24"/>
          <w:szCs w:val="24"/>
        </w:rPr>
      </w:pPr>
      <w:r>
        <w:rPr>
          <w:rFonts w:hint="eastAsia" w:ascii="仿宋" w:hAnsi="仿宋" w:eastAsia="仿宋" w:cs="仿宋"/>
          <w:kern w:val="2"/>
          <w:sz w:val="24"/>
          <w:szCs w:val="24"/>
        </w:rPr>
        <w:t>供应商：（盖章）</w:t>
      </w:r>
    </w:p>
    <w:p w14:paraId="71CA8D30">
      <w:pPr>
        <w:snapToGrid w:val="0"/>
        <w:spacing w:line="240" w:lineRule="atLeast"/>
        <w:ind w:firstLine="560"/>
        <w:jc w:val="right"/>
        <w:rPr>
          <w:rFonts w:hint="eastAsia" w:ascii="仿宋" w:hAnsi="仿宋" w:eastAsia="仿宋" w:cs="仿宋"/>
          <w:kern w:val="2"/>
          <w:sz w:val="24"/>
          <w:szCs w:val="24"/>
        </w:rPr>
      </w:pPr>
      <w:r>
        <w:rPr>
          <w:rFonts w:hint="eastAsia" w:ascii="仿宋" w:hAnsi="仿宋" w:eastAsia="仿宋" w:cs="仿宋"/>
          <w:kern w:val="2"/>
          <w:sz w:val="24"/>
          <w:szCs w:val="24"/>
        </w:rPr>
        <w:t>法定代表人或其委托代理人：（签字）</w:t>
      </w:r>
    </w:p>
    <w:p w14:paraId="28B18A22">
      <w:pPr>
        <w:snapToGrid w:val="0"/>
        <w:spacing w:line="240" w:lineRule="atLeast"/>
        <w:ind w:firstLine="560"/>
        <w:jc w:val="center"/>
        <w:rPr>
          <w:rFonts w:hint="eastAsia" w:ascii="仿宋" w:hAnsi="仿宋" w:eastAsia="仿宋" w:cs="仿宋"/>
          <w:kern w:val="2"/>
          <w:sz w:val="24"/>
          <w:szCs w:val="24"/>
        </w:rPr>
      </w:pPr>
      <w:r>
        <w:rPr>
          <w:rFonts w:hint="eastAsia" w:ascii="仿宋" w:hAnsi="仿宋" w:eastAsia="仿宋" w:cs="仿宋"/>
          <w:kern w:val="2"/>
          <w:sz w:val="24"/>
          <w:szCs w:val="24"/>
        </w:rPr>
        <w:t xml:space="preserve">                             年 月 日</w:t>
      </w:r>
    </w:p>
    <w:p w14:paraId="16A77662">
      <w:pPr>
        <w:snapToGrid w:val="0"/>
        <w:spacing w:line="240" w:lineRule="atLeast"/>
        <w:ind w:firstLine="560"/>
        <w:jc w:val="center"/>
        <w:rPr>
          <w:rFonts w:hint="eastAsia" w:ascii="仿宋" w:hAnsi="仿宋" w:eastAsia="仿宋" w:cs="仿宋"/>
          <w:kern w:val="2"/>
          <w:sz w:val="24"/>
          <w:szCs w:val="24"/>
        </w:rPr>
      </w:pPr>
    </w:p>
    <w:p w14:paraId="3589B1FC">
      <w:pPr>
        <w:snapToGrid w:val="0"/>
        <w:spacing w:line="240" w:lineRule="atLeast"/>
        <w:ind w:firstLine="560"/>
        <w:jc w:val="center"/>
        <w:rPr>
          <w:rFonts w:ascii="仿宋" w:hAnsi="仿宋" w:eastAsia="仿宋" w:cs="仿宋"/>
          <w:kern w:val="2"/>
          <w:sz w:val="24"/>
          <w:szCs w:val="24"/>
        </w:rPr>
      </w:pPr>
    </w:p>
    <w:p w14:paraId="4F461BEC">
      <w:pPr>
        <w:snapToGrid w:val="0"/>
        <w:spacing w:line="240" w:lineRule="atLeast"/>
        <w:ind w:firstLine="560"/>
        <w:jc w:val="center"/>
        <w:rPr>
          <w:rFonts w:ascii="仿宋" w:hAnsi="仿宋" w:eastAsia="仿宋" w:cs="仿宋"/>
          <w:kern w:val="2"/>
          <w:sz w:val="24"/>
          <w:szCs w:val="24"/>
        </w:rPr>
      </w:pPr>
    </w:p>
    <w:p w14:paraId="3D0BC032">
      <w:pPr>
        <w:snapToGrid w:val="0"/>
        <w:spacing w:line="240" w:lineRule="atLeast"/>
        <w:ind w:firstLine="560"/>
        <w:jc w:val="center"/>
        <w:rPr>
          <w:rFonts w:ascii="仿宋" w:hAnsi="仿宋" w:eastAsia="仿宋" w:cs="仿宋"/>
          <w:kern w:val="2"/>
          <w:sz w:val="24"/>
          <w:szCs w:val="24"/>
        </w:rPr>
      </w:pPr>
    </w:p>
    <w:p w14:paraId="4C2B5E90">
      <w:pPr>
        <w:snapToGrid w:val="0"/>
        <w:spacing w:line="240" w:lineRule="atLeast"/>
        <w:ind w:firstLine="560"/>
        <w:jc w:val="center"/>
        <w:rPr>
          <w:rFonts w:ascii="仿宋" w:hAnsi="仿宋" w:eastAsia="仿宋" w:cs="仿宋"/>
          <w:kern w:val="2"/>
          <w:sz w:val="24"/>
          <w:szCs w:val="24"/>
        </w:rPr>
      </w:pPr>
    </w:p>
    <w:p w14:paraId="187771D7">
      <w:pPr>
        <w:snapToGrid w:val="0"/>
        <w:spacing w:line="240" w:lineRule="atLeast"/>
        <w:ind w:firstLine="560"/>
        <w:jc w:val="center"/>
        <w:rPr>
          <w:rFonts w:ascii="仿宋" w:hAnsi="仿宋" w:eastAsia="仿宋" w:cs="仿宋"/>
          <w:kern w:val="2"/>
          <w:sz w:val="24"/>
          <w:szCs w:val="24"/>
        </w:rPr>
      </w:pPr>
    </w:p>
    <w:p w14:paraId="50F6CD65">
      <w:pPr>
        <w:snapToGrid w:val="0"/>
        <w:spacing w:line="240" w:lineRule="atLeast"/>
        <w:ind w:firstLine="560"/>
        <w:jc w:val="center"/>
        <w:rPr>
          <w:rFonts w:ascii="仿宋" w:hAnsi="仿宋" w:eastAsia="仿宋" w:cs="仿宋"/>
          <w:kern w:val="2"/>
          <w:sz w:val="24"/>
          <w:szCs w:val="24"/>
        </w:rPr>
      </w:pPr>
    </w:p>
    <w:p w14:paraId="1B60CF24">
      <w:pPr>
        <w:snapToGrid w:val="0"/>
        <w:spacing w:line="240" w:lineRule="atLeast"/>
        <w:ind w:firstLine="560"/>
        <w:jc w:val="center"/>
        <w:rPr>
          <w:rFonts w:ascii="仿宋" w:hAnsi="仿宋" w:eastAsia="仿宋" w:cs="仿宋"/>
          <w:kern w:val="2"/>
          <w:sz w:val="24"/>
          <w:szCs w:val="24"/>
        </w:rPr>
      </w:pPr>
    </w:p>
    <w:p w14:paraId="07076367">
      <w:pPr>
        <w:snapToGrid w:val="0"/>
        <w:spacing w:line="240" w:lineRule="atLeast"/>
        <w:ind w:firstLine="560"/>
        <w:jc w:val="center"/>
        <w:rPr>
          <w:rFonts w:ascii="仿宋" w:hAnsi="仿宋" w:eastAsia="仿宋" w:cs="仿宋"/>
          <w:kern w:val="2"/>
          <w:sz w:val="24"/>
          <w:szCs w:val="24"/>
        </w:rPr>
      </w:pPr>
    </w:p>
    <w:p w14:paraId="28B238AF">
      <w:pPr>
        <w:snapToGrid w:val="0"/>
        <w:spacing w:line="240" w:lineRule="atLeast"/>
        <w:ind w:firstLine="560"/>
        <w:jc w:val="center"/>
        <w:rPr>
          <w:rFonts w:ascii="仿宋" w:hAnsi="仿宋" w:eastAsia="仿宋" w:cs="仿宋"/>
          <w:kern w:val="2"/>
          <w:sz w:val="24"/>
          <w:szCs w:val="24"/>
        </w:rPr>
      </w:pPr>
    </w:p>
    <w:p w14:paraId="5089A89F">
      <w:pPr>
        <w:snapToGrid w:val="0"/>
        <w:spacing w:line="240" w:lineRule="atLeast"/>
        <w:ind w:firstLine="560"/>
        <w:jc w:val="center"/>
        <w:rPr>
          <w:rFonts w:ascii="仿宋" w:hAnsi="仿宋" w:eastAsia="仿宋" w:cs="仿宋"/>
          <w:kern w:val="2"/>
          <w:sz w:val="24"/>
          <w:szCs w:val="24"/>
        </w:rPr>
      </w:pPr>
    </w:p>
    <w:p w14:paraId="21E64088">
      <w:pPr>
        <w:snapToGrid w:val="0"/>
        <w:spacing w:line="240" w:lineRule="atLeast"/>
        <w:ind w:firstLine="560"/>
        <w:jc w:val="center"/>
        <w:rPr>
          <w:rFonts w:ascii="仿宋" w:hAnsi="仿宋" w:eastAsia="仿宋" w:cs="仿宋"/>
          <w:kern w:val="2"/>
          <w:sz w:val="24"/>
          <w:szCs w:val="24"/>
        </w:rPr>
      </w:pPr>
    </w:p>
    <w:p w14:paraId="6ED8B0F7">
      <w:pPr>
        <w:snapToGrid w:val="0"/>
        <w:spacing w:line="240" w:lineRule="atLeast"/>
        <w:ind w:firstLine="560"/>
        <w:jc w:val="center"/>
        <w:rPr>
          <w:rFonts w:ascii="仿宋" w:hAnsi="仿宋" w:eastAsia="仿宋" w:cs="仿宋"/>
          <w:kern w:val="2"/>
          <w:sz w:val="24"/>
          <w:szCs w:val="24"/>
        </w:rPr>
      </w:pPr>
    </w:p>
    <w:p w14:paraId="5AC68A2A">
      <w:pPr>
        <w:snapToGrid w:val="0"/>
        <w:spacing w:line="240" w:lineRule="atLeast"/>
        <w:jc w:val="both"/>
        <w:rPr>
          <w:rFonts w:ascii="仿宋" w:hAnsi="仿宋" w:eastAsia="仿宋" w:cs="仿宋"/>
          <w:kern w:val="2"/>
          <w:sz w:val="24"/>
          <w:szCs w:val="24"/>
        </w:rPr>
      </w:pPr>
    </w:p>
    <w:p w14:paraId="0BCD0D41">
      <w:pPr>
        <w:snapToGrid w:val="0"/>
        <w:spacing w:line="240" w:lineRule="atLeast"/>
        <w:ind w:firstLine="560"/>
        <w:jc w:val="center"/>
        <w:rPr>
          <w:rFonts w:hint="eastAsia" w:ascii="仿宋" w:hAnsi="仿宋" w:eastAsia="仿宋" w:cs="仿宋"/>
          <w:kern w:val="2"/>
          <w:sz w:val="24"/>
          <w:szCs w:val="24"/>
        </w:rPr>
      </w:pPr>
    </w:p>
    <w:p w14:paraId="3209E42B">
      <w:pPr>
        <w:pStyle w:val="19"/>
        <w:rPr>
          <w:rFonts w:hint="eastAsia" w:ascii="仿宋" w:hAnsi="仿宋" w:eastAsia="仿宋" w:cs="仿宋"/>
          <w:sz w:val="24"/>
        </w:rPr>
      </w:pPr>
      <w:r>
        <w:rPr>
          <w:rFonts w:hint="eastAsia" w:ascii="方正小标宋_GBK" w:hAnsi="方正小标宋_GBK" w:eastAsia="方正小标宋_GBK" w:cs="方正小标宋_GBK"/>
          <w:sz w:val="24"/>
        </w:rPr>
        <w:t>快递、物流合同</w:t>
      </w:r>
    </w:p>
    <w:p w14:paraId="243FDCC1">
      <w:pPr>
        <w:pStyle w:val="13"/>
        <w:ind w:firstLine="480"/>
        <w:rPr>
          <w:rFonts w:hint="eastAsia" w:ascii="仿宋" w:hAnsi="仿宋" w:eastAsia="仿宋" w:cs="仿宋"/>
        </w:rPr>
      </w:pPr>
      <w:r>
        <w:rPr>
          <w:rFonts w:hint="eastAsia" w:ascii="仿宋" w:hAnsi="仿宋" w:eastAsia="仿宋" w:cs="仿宋"/>
        </w:rPr>
        <w:t>甲方（采购方）：湖北鄂安标牌厂</w:t>
      </w:r>
    </w:p>
    <w:p w14:paraId="6DDFEBF0">
      <w:pPr>
        <w:pStyle w:val="13"/>
        <w:ind w:firstLine="480"/>
        <w:rPr>
          <w:rFonts w:hint="eastAsia" w:ascii="仿宋" w:hAnsi="仿宋" w:eastAsia="仿宋" w:cs="仿宋"/>
        </w:rPr>
      </w:pPr>
      <w:r>
        <w:rPr>
          <w:rFonts w:hint="eastAsia" w:ascii="仿宋" w:hAnsi="仿宋" w:eastAsia="仿宋" w:cs="仿宋"/>
        </w:rPr>
        <w:t>乙方（供应方）：</w:t>
      </w:r>
    </w:p>
    <w:p w14:paraId="0EC0E57A">
      <w:pPr>
        <w:pStyle w:val="13"/>
        <w:ind w:firstLine="480"/>
        <w:rPr>
          <w:rFonts w:hint="eastAsia" w:ascii="仿宋" w:hAnsi="仿宋" w:eastAsia="仿宋" w:cs="仿宋"/>
        </w:rPr>
      </w:pPr>
      <w:r>
        <w:rPr>
          <w:rFonts w:hint="eastAsia" w:ascii="仿宋" w:hAnsi="仿宋" w:eastAsia="仿宋" w:cs="仿宋"/>
        </w:rPr>
        <w:t>甲乙双方根据《中华人民共和国民法典》及相关法律法规的规定，经协商一致，自愿签订本合同，以昭信守。</w:t>
      </w:r>
    </w:p>
    <w:p w14:paraId="17E25416">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采购服务的</w:t>
      </w:r>
      <w:commentRangeStart w:id="1"/>
      <w:r>
        <w:rPr>
          <w:rFonts w:hint="eastAsia" w:ascii="仿宋" w:hAnsi="仿宋" w:eastAsia="仿宋" w:cs="仿宋"/>
          <w:sz w:val="24"/>
          <w:szCs w:val="24"/>
        </w:rPr>
        <w:t>名称、内容、要求及价款</w:t>
      </w:r>
      <w:commentRangeEnd w:id="1"/>
      <w:r>
        <w:rPr>
          <w:rStyle w:val="25"/>
          <w:rFonts w:hint="eastAsia" w:ascii="仿宋" w:hAnsi="仿宋" w:eastAsia="仿宋" w:cs="仿宋"/>
          <w:sz w:val="24"/>
          <w:szCs w:val="24"/>
        </w:rPr>
        <w:commentReference w:id="1"/>
      </w:r>
    </w:p>
    <w:p w14:paraId="78094DEE">
      <w:pPr>
        <w:pStyle w:val="13"/>
        <w:ind w:firstLine="480"/>
        <w:rPr>
          <w:rFonts w:hint="eastAsia" w:ascii="仿宋" w:hAnsi="仿宋" w:eastAsia="仿宋" w:cs="仿宋"/>
        </w:rPr>
      </w:pPr>
      <w:r>
        <w:rPr>
          <w:rFonts w:hint="eastAsia" w:ascii="仿宋" w:hAnsi="仿宋" w:eastAsia="仿宋" w:cs="仿宋"/>
        </w:rPr>
        <w:t>乙方根据本合同的规定向甲方提供以下服务：</w:t>
      </w:r>
    </w:p>
    <w:tbl>
      <w:tblPr>
        <w:tblStyle w:val="27"/>
        <w:tblW w:w="9768" w:type="dxa"/>
        <w:jc w:val="cente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autofit"/>
        <w:tblCellMar>
          <w:top w:w="0" w:type="dxa"/>
          <w:left w:w="0" w:type="dxa"/>
          <w:bottom w:w="0" w:type="dxa"/>
          <w:right w:w="0" w:type="dxa"/>
        </w:tblCellMar>
      </w:tblPr>
      <w:tblGrid>
        <w:gridCol w:w="1452"/>
        <w:gridCol w:w="1921"/>
        <w:gridCol w:w="1810"/>
        <w:gridCol w:w="1935"/>
        <w:gridCol w:w="2650"/>
      </w:tblGrid>
      <w:tr w14:paraId="675BD33C">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12" w:hRule="atLeast"/>
          <w:tblHeader/>
          <w:jc w:val="center"/>
        </w:trPr>
        <w:tc>
          <w:tcPr>
            <w:tcW w:w="1452" w:type="dxa"/>
            <w:vMerge w:val="restart"/>
            <w:tcBorders>
              <w:top w:val="single" w:color="000000" w:sz="6" w:space="0"/>
              <w:right w:val="single" w:color="808080" w:sz="4" w:space="0"/>
            </w:tcBorders>
            <w:vAlign w:val="center"/>
          </w:tcPr>
          <w:p w14:paraId="0E7E92A0">
            <w:pPr>
              <w:keepNext/>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发出地</w:t>
            </w:r>
          </w:p>
        </w:tc>
        <w:tc>
          <w:tcPr>
            <w:tcW w:w="1921" w:type="dxa"/>
            <w:vMerge w:val="restart"/>
            <w:tcBorders>
              <w:top w:val="single" w:color="000000" w:sz="6" w:space="0"/>
              <w:left w:val="single" w:color="808080" w:sz="4" w:space="0"/>
              <w:right w:val="single" w:color="808080" w:sz="4" w:space="0"/>
            </w:tcBorders>
            <w:vAlign w:val="center"/>
          </w:tcPr>
          <w:p w14:paraId="7A4B7F92">
            <w:pPr>
              <w:keepNext/>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目的城市</w:t>
            </w:r>
          </w:p>
        </w:tc>
        <w:tc>
          <w:tcPr>
            <w:tcW w:w="1810" w:type="dxa"/>
            <w:vMerge w:val="restart"/>
            <w:tcBorders>
              <w:top w:val="single" w:color="000000" w:sz="6" w:space="0"/>
              <w:left w:val="single" w:color="808080" w:sz="4" w:space="0"/>
            </w:tcBorders>
            <w:vAlign w:val="center"/>
          </w:tcPr>
          <w:p w14:paraId="00AFD17B">
            <w:pPr>
              <w:keepNext/>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1kg以内</w:t>
            </w:r>
          </w:p>
        </w:tc>
        <w:tc>
          <w:tcPr>
            <w:tcW w:w="1935" w:type="dxa"/>
            <w:vMerge w:val="restart"/>
            <w:tcBorders>
              <w:top w:val="single" w:color="000000" w:sz="6" w:space="0"/>
              <w:right w:val="single" w:color="808080" w:sz="4" w:space="0"/>
            </w:tcBorders>
            <w:vAlign w:val="center"/>
          </w:tcPr>
          <w:p w14:paraId="2B9D30B7">
            <w:pPr>
              <w:keepNext/>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(1-20kg)</w:t>
            </w:r>
          </w:p>
        </w:tc>
        <w:tc>
          <w:tcPr>
            <w:tcW w:w="2650" w:type="dxa"/>
            <w:vMerge w:val="restart"/>
            <w:tcBorders>
              <w:top w:val="single" w:color="000000" w:sz="6" w:space="0"/>
              <w:left w:val="single" w:color="808080" w:sz="4" w:space="0"/>
            </w:tcBorders>
            <w:vAlign w:val="center"/>
          </w:tcPr>
          <w:p w14:paraId="40026629">
            <w:pPr>
              <w:keepNext/>
              <w:snapToGrid w:val="0"/>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（20-30kg）</w:t>
            </w:r>
          </w:p>
        </w:tc>
      </w:tr>
      <w:tr w14:paraId="54528630">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312" w:hRule="atLeast"/>
          <w:tblHeader/>
          <w:jc w:val="center"/>
        </w:trPr>
        <w:tc>
          <w:tcPr>
            <w:tcW w:w="1452" w:type="dxa"/>
            <w:vMerge w:val="continue"/>
            <w:tcBorders>
              <w:right w:val="single" w:color="808080" w:sz="4" w:space="0"/>
            </w:tcBorders>
            <w:vAlign w:val="center"/>
          </w:tcPr>
          <w:p w14:paraId="0930B8A3">
            <w:pPr>
              <w:keepNext/>
              <w:snapToGrid w:val="0"/>
              <w:ind w:left="0" w:leftChars="0" w:right="0" w:rightChars="0" w:firstLine="0" w:firstLineChars="0"/>
              <w:jc w:val="center"/>
              <w:rPr>
                <w:rFonts w:hint="eastAsia" w:ascii="仿宋" w:hAnsi="仿宋" w:eastAsia="仿宋" w:cs="仿宋"/>
                <w:b/>
                <w:sz w:val="24"/>
                <w:szCs w:val="24"/>
              </w:rPr>
            </w:pPr>
          </w:p>
        </w:tc>
        <w:tc>
          <w:tcPr>
            <w:tcW w:w="1921" w:type="dxa"/>
            <w:vMerge w:val="continue"/>
            <w:tcBorders>
              <w:left w:val="single" w:color="808080" w:sz="4" w:space="0"/>
              <w:right w:val="single" w:color="808080" w:sz="4" w:space="0"/>
            </w:tcBorders>
            <w:vAlign w:val="center"/>
          </w:tcPr>
          <w:p w14:paraId="4626F39C">
            <w:pPr>
              <w:keepNext/>
              <w:snapToGrid w:val="0"/>
              <w:ind w:left="0" w:leftChars="0" w:right="0" w:rightChars="0" w:firstLine="0" w:firstLineChars="0"/>
              <w:jc w:val="center"/>
              <w:rPr>
                <w:rFonts w:hint="eastAsia" w:ascii="仿宋" w:hAnsi="仿宋" w:eastAsia="仿宋" w:cs="仿宋"/>
                <w:b/>
                <w:sz w:val="24"/>
                <w:szCs w:val="24"/>
              </w:rPr>
            </w:pPr>
          </w:p>
        </w:tc>
        <w:tc>
          <w:tcPr>
            <w:tcW w:w="1810" w:type="dxa"/>
            <w:vMerge w:val="continue"/>
            <w:tcBorders>
              <w:left w:val="single" w:color="808080" w:sz="4" w:space="0"/>
            </w:tcBorders>
            <w:vAlign w:val="center"/>
          </w:tcPr>
          <w:p w14:paraId="711FD9A4">
            <w:pPr>
              <w:keepNext/>
              <w:snapToGrid w:val="0"/>
              <w:ind w:left="0" w:leftChars="0" w:right="0" w:rightChars="0" w:firstLine="0" w:firstLineChars="0"/>
              <w:jc w:val="center"/>
              <w:rPr>
                <w:rFonts w:hint="eastAsia" w:ascii="仿宋" w:hAnsi="仿宋" w:eastAsia="仿宋" w:cs="仿宋"/>
                <w:b/>
                <w:sz w:val="24"/>
                <w:szCs w:val="24"/>
              </w:rPr>
            </w:pPr>
          </w:p>
        </w:tc>
        <w:tc>
          <w:tcPr>
            <w:tcW w:w="1935" w:type="dxa"/>
            <w:vMerge w:val="continue"/>
            <w:tcBorders>
              <w:right w:val="single" w:color="808080" w:sz="4" w:space="0"/>
            </w:tcBorders>
            <w:vAlign w:val="center"/>
          </w:tcPr>
          <w:p w14:paraId="6DCF3917">
            <w:pPr>
              <w:keepNext/>
              <w:snapToGrid w:val="0"/>
              <w:ind w:left="0" w:leftChars="0" w:right="0" w:rightChars="0" w:firstLine="0" w:firstLineChars="0"/>
              <w:jc w:val="center"/>
              <w:rPr>
                <w:rFonts w:hint="eastAsia" w:ascii="仿宋" w:hAnsi="仿宋" w:eastAsia="仿宋" w:cs="仿宋"/>
                <w:b/>
                <w:sz w:val="24"/>
                <w:szCs w:val="24"/>
              </w:rPr>
            </w:pPr>
          </w:p>
        </w:tc>
        <w:tc>
          <w:tcPr>
            <w:tcW w:w="2650" w:type="dxa"/>
            <w:vMerge w:val="continue"/>
            <w:tcBorders>
              <w:left w:val="single" w:color="808080" w:sz="4" w:space="0"/>
            </w:tcBorders>
            <w:vAlign w:val="center"/>
          </w:tcPr>
          <w:p w14:paraId="0370ADEB">
            <w:pPr>
              <w:keepNext/>
              <w:snapToGrid w:val="0"/>
              <w:ind w:left="0" w:leftChars="0" w:right="0" w:rightChars="0" w:firstLine="0" w:firstLineChars="0"/>
              <w:jc w:val="center"/>
              <w:rPr>
                <w:rFonts w:hint="eastAsia" w:ascii="仿宋" w:hAnsi="仿宋" w:eastAsia="仿宋" w:cs="仿宋"/>
                <w:b/>
                <w:sz w:val="24"/>
                <w:szCs w:val="24"/>
              </w:rPr>
            </w:pPr>
          </w:p>
        </w:tc>
      </w:tr>
      <w:tr w14:paraId="385597E3">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0" w:type="dxa"/>
            <w:bottom w:w="0" w:type="dxa"/>
            <w:right w:w="0" w:type="dxa"/>
          </w:tblCellMar>
        </w:tblPrEx>
        <w:trPr>
          <w:trHeight w:val="0" w:hRule="atLeast"/>
          <w:jc w:val="center"/>
        </w:trPr>
        <w:tc>
          <w:tcPr>
            <w:tcW w:w="1452" w:type="dxa"/>
            <w:tcBorders>
              <w:top w:val="single" w:color="000000" w:sz="6" w:space="0"/>
              <w:right w:val="single" w:color="808080" w:sz="4" w:space="0"/>
            </w:tcBorders>
            <w:shd w:val="clear" w:color="auto" w:fill="auto"/>
            <w:vAlign w:val="center"/>
          </w:tcPr>
          <w:p w14:paraId="34A631CA">
            <w:pPr>
              <w:keepNext/>
              <w:snapToGrid w:val="0"/>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szCs w:val="24"/>
                <w:highlight w:val="none"/>
              </w:rPr>
              <w:t>武汉市</w:t>
            </w:r>
          </w:p>
        </w:tc>
        <w:tc>
          <w:tcPr>
            <w:tcW w:w="1921" w:type="dxa"/>
            <w:tcBorders>
              <w:top w:val="single" w:color="000000" w:sz="6" w:space="0"/>
              <w:left w:val="single" w:color="808080" w:sz="4" w:space="0"/>
              <w:right w:val="single" w:color="808080" w:sz="4" w:space="0"/>
            </w:tcBorders>
            <w:vAlign w:val="center"/>
          </w:tcPr>
          <w:p w14:paraId="188A7CFB">
            <w:pPr>
              <w:keepNext/>
              <w:snapToGrid w:val="0"/>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szCs w:val="24"/>
              </w:rPr>
              <w:t>湖北省</w:t>
            </w:r>
          </w:p>
        </w:tc>
        <w:tc>
          <w:tcPr>
            <w:tcW w:w="1810" w:type="dxa"/>
            <w:tcBorders>
              <w:top w:val="single" w:color="000000" w:sz="6" w:space="0"/>
              <w:left w:val="single" w:color="808080" w:sz="4" w:space="0"/>
            </w:tcBorders>
            <w:vAlign w:val="center"/>
          </w:tcPr>
          <w:p w14:paraId="4D747033">
            <w:pPr>
              <w:keepNext/>
              <w:snapToGrid w:val="0"/>
              <w:ind w:left="0" w:leftChars="0" w:right="0" w:rightChars="0" w:firstLine="0" w:firstLineChars="0"/>
              <w:jc w:val="center"/>
              <w:rPr>
                <w:rFonts w:hint="eastAsia" w:ascii="仿宋" w:hAnsi="仿宋" w:eastAsia="仿宋" w:cs="仿宋"/>
                <w:sz w:val="24"/>
                <w:szCs w:val="24"/>
              </w:rPr>
            </w:pPr>
          </w:p>
        </w:tc>
        <w:tc>
          <w:tcPr>
            <w:tcW w:w="1935" w:type="dxa"/>
            <w:tcBorders>
              <w:top w:val="single" w:color="000000" w:sz="6" w:space="0"/>
              <w:right w:val="single" w:color="808080" w:sz="4" w:space="0"/>
            </w:tcBorders>
            <w:vAlign w:val="center"/>
          </w:tcPr>
          <w:p w14:paraId="083429E6">
            <w:pPr>
              <w:keepNext/>
              <w:snapToGrid w:val="0"/>
              <w:ind w:left="0" w:leftChars="0" w:right="0" w:rightChars="0" w:firstLine="0" w:firstLineChars="0"/>
              <w:jc w:val="center"/>
              <w:rPr>
                <w:rFonts w:hint="eastAsia" w:ascii="仿宋" w:hAnsi="仿宋" w:eastAsia="仿宋" w:cs="仿宋"/>
                <w:sz w:val="24"/>
                <w:szCs w:val="24"/>
              </w:rPr>
            </w:pPr>
          </w:p>
        </w:tc>
        <w:tc>
          <w:tcPr>
            <w:tcW w:w="2650" w:type="dxa"/>
            <w:tcBorders>
              <w:top w:val="single" w:color="000000" w:sz="6" w:space="0"/>
              <w:left w:val="single" w:color="808080" w:sz="4" w:space="0"/>
            </w:tcBorders>
            <w:vAlign w:val="center"/>
          </w:tcPr>
          <w:p w14:paraId="3567E65A">
            <w:pPr>
              <w:keepNext/>
              <w:snapToGrid w:val="0"/>
              <w:ind w:left="0" w:leftChars="0" w:right="0" w:rightChars="0" w:firstLine="0" w:firstLineChars="0"/>
              <w:jc w:val="center"/>
              <w:rPr>
                <w:rFonts w:hint="eastAsia" w:ascii="仿宋" w:hAnsi="仿宋" w:eastAsia="仿宋" w:cs="仿宋"/>
                <w:sz w:val="24"/>
                <w:szCs w:val="24"/>
              </w:rPr>
            </w:pPr>
          </w:p>
        </w:tc>
      </w:tr>
    </w:tbl>
    <w:p w14:paraId="58F0C26E">
      <w:pPr>
        <w:pStyle w:val="13"/>
        <w:ind w:firstLine="0" w:firstLineChars="0"/>
        <w:rPr>
          <w:rFonts w:hint="eastAsia" w:ascii="仿宋" w:hAnsi="仿宋" w:eastAsia="仿宋" w:cs="仿宋"/>
        </w:rPr>
      </w:pPr>
    </w:p>
    <w:p w14:paraId="2CBCA2AC">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合同期限</w:t>
      </w:r>
    </w:p>
    <w:p w14:paraId="5A9E5C27">
      <w:pPr>
        <w:pStyle w:val="13"/>
        <w:ind w:firstLine="480"/>
        <w:rPr>
          <w:rFonts w:hint="eastAsia" w:ascii="仿宋" w:hAnsi="仿宋" w:eastAsia="仿宋" w:cs="仿宋"/>
        </w:rPr>
      </w:pPr>
      <w:r>
        <w:rPr>
          <w:rFonts w:hint="eastAsia" w:ascii="仿宋" w:hAnsi="仿宋" w:eastAsia="仿宋" w:cs="仿宋"/>
        </w:rPr>
        <w:t>本合同有效期1年。</w:t>
      </w:r>
    </w:p>
    <w:p w14:paraId="151718A7">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服务要求</w:t>
      </w:r>
    </w:p>
    <w:p w14:paraId="196D133F">
      <w:pPr>
        <w:pStyle w:val="13"/>
        <w:numPr>
          <w:ilvl w:val="0"/>
          <w:numId w:val="8"/>
        </w:numPr>
        <w:ind w:firstLineChars="0"/>
        <w:rPr>
          <w:rFonts w:hint="eastAsia" w:ascii="仿宋" w:hAnsi="仿宋" w:eastAsia="仿宋" w:cs="仿宋"/>
        </w:rPr>
      </w:pPr>
      <w:r>
        <w:rPr>
          <w:rFonts w:hint="eastAsia" w:ascii="仿宋" w:hAnsi="仿宋" w:eastAsia="仿宋" w:cs="仿宋"/>
        </w:rPr>
        <w:t>甲方视乙方为湖北楚安实业发展有限公司的机动车号牌半成品、湖北鄂安标牌厂的机动车号牌固封及线下机动车号牌</w:t>
      </w:r>
      <w:r>
        <w:rPr>
          <w:rFonts w:hint="eastAsia" w:ascii="仿宋" w:hAnsi="仿宋" w:eastAsia="仿宋" w:cs="仿宋"/>
          <w:lang w:eastAsia="zh-CN"/>
        </w:rPr>
        <w:t>、</w:t>
      </w:r>
      <w:r>
        <w:rPr>
          <w:rFonts w:hint="eastAsia" w:ascii="仿宋" w:hAnsi="仿宋" w:eastAsia="仿宋" w:cs="仿宋"/>
          <w:b w:val="0"/>
          <w:bCs w:val="0"/>
          <w:color w:val="auto"/>
          <w:kern w:val="2"/>
          <w:sz w:val="24"/>
          <w:szCs w:val="24"/>
        </w:rPr>
        <w:t>文件类、机器设备配件</w:t>
      </w:r>
      <w:r>
        <w:rPr>
          <w:rFonts w:hint="eastAsia" w:ascii="仿宋" w:hAnsi="仿宋" w:eastAsia="仿宋" w:cs="仿宋"/>
        </w:rPr>
        <w:t>等的快递、物流的主要承运人之一，向乙方提供货源、流量、流向；</w:t>
      </w:r>
    </w:p>
    <w:p w14:paraId="36691EE1">
      <w:pPr>
        <w:pStyle w:val="13"/>
        <w:numPr>
          <w:ilvl w:val="0"/>
          <w:numId w:val="8"/>
        </w:numPr>
        <w:ind w:firstLineChars="0"/>
        <w:rPr>
          <w:rFonts w:hint="eastAsia" w:ascii="仿宋" w:hAnsi="仿宋" w:eastAsia="仿宋" w:cs="仿宋"/>
        </w:rPr>
      </w:pPr>
      <w:r>
        <w:rPr>
          <w:rFonts w:hint="eastAsia" w:ascii="仿宋" w:hAnsi="仿宋" w:eastAsia="仿宋" w:cs="仿宋"/>
        </w:rPr>
        <w:t>乙方视甲方为其重要的客户之一，提供与货物相适应的合格运载工具，并负责货物承运、车辆运行跟踪、质量事故处理、信息反馈等快递服务工作；</w:t>
      </w:r>
    </w:p>
    <w:p w14:paraId="0E61683F">
      <w:pPr>
        <w:pStyle w:val="13"/>
        <w:numPr>
          <w:ilvl w:val="0"/>
          <w:numId w:val="8"/>
        </w:numPr>
        <w:ind w:firstLineChars="0"/>
        <w:rPr>
          <w:rFonts w:hint="eastAsia" w:ascii="仿宋" w:hAnsi="仿宋" w:eastAsia="仿宋" w:cs="仿宋"/>
        </w:rPr>
      </w:pPr>
      <w:r>
        <w:rPr>
          <w:rFonts w:hint="eastAsia" w:ascii="仿宋" w:hAnsi="仿宋" w:eastAsia="仿宋" w:cs="仿宋"/>
        </w:rPr>
        <w:t>甲方提前将当日货物发运计划通过电话、传真、邮件等方式通知乙方指定联系人（姓名：</w:t>
      </w:r>
      <w:r>
        <w:rPr>
          <w:rFonts w:hint="eastAsia" w:ascii="仿宋" w:hAnsi="仿宋" w:eastAsia="仿宋" w:cs="仿宋"/>
          <w:lang w:val="en-US" w:eastAsia="zh-CN"/>
        </w:rPr>
        <w:t xml:space="preserve">  </w:t>
      </w:r>
      <w:r>
        <w:rPr>
          <w:rFonts w:hint="eastAsia" w:ascii="仿宋" w:hAnsi="仿宋" w:eastAsia="仿宋" w:cs="仿宋"/>
        </w:rPr>
        <w:t>，电话</w:t>
      </w:r>
      <w:r>
        <w:rPr>
          <w:rFonts w:hint="eastAsia" w:ascii="仿宋" w:hAnsi="仿宋" w:eastAsia="仿宋" w:cs="仿宋"/>
          <w:lang w:val="en-US" w:eastAsia="zh-CN"/>
        </w:rPr>
        <w:t xml:space="preserve">       </w:t>
      </w:r>
      <w:r>
        <w:rPr>
          <w:rFonts w:hint="eastAsia" w:ascii="仿宋" w:hAnsi="仿宋" w:eastAsia="仿宋" w:cs="仿宋"/>
        </w:rPr>
        <w:t>：），乙方在收到发货计划之后，通过上门提货的方式办理业务手续后予以承运；</w:t>
      </w:r>
    </w:p>
    <w:p w14:paraId="46FFDD0A">
      <w:pPr>
        <w:pStyle w:val="13"/>
        <w:numPr>
          <w:ilvl w:val="0"/>
          <w:numId w:val="8"/>
        </w:numPr>
        <w:ind w:firstLineChars="0"/>
        <w:rPr>
          <w:rFonts w:hint="eastAsia" w:ascii="仿宋" w:hAnsi="仿宋" w:eastAsia="仿宋" w:cs="仿宋"/>
        </w:rPr>
      </w:pPr>
      <w:r>
        <w:rPr>
          <w:rFonts w:hint="eastAsia" w:ascii="仿宋" w:hAnsi="仿宋" w:eastAsia="仿宋" w:cs="仿宋"/>
        </w:rPr>
        <w:t>正常情况下，乙方将甲方所托运的货物在24-</w:t>
      </w:r>
      <w:r>
        <w:rPr>
          <w:rFonts w:hint="eastAsia" w:ascii="仿宋" w:hAnsi="仿宋" w:eastAsia="仿宋" w:cs="仿宋"/>
          <w:lang w:val="en-US" w:eastAsia="zh-CN"/>
        </w:rPr>
        <w:t>48</w:t>
      </w:r>
      <w:r>
        <w:rPr>
          <w:rFonts w:hint="eastAsia" w:ascii="仿宋" w:hAnsi="仿宋" w:eastAsia="仿宋" w:cs="仿宋"/>
        </w:rPr>
        <w:t>小时内发运至指定地点（以湖北鄂安标牌厂发车时间开始计算）。</w:t>
      </w:r>
    </w:p>
    <w:p w14:paraId="07D33F3E">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关于索证索票的要求</w:t>
      </w:r>
    </w:p>
    <w:p w14:paraId="703D6252">
      <w:pPr>
        <w:pStyle w:val="13"/>
        <w:ind w:firstLine="480"/>
        <w:rPr>
          <w:rFonts w:hint="eastAsia" w:ascii="仿宋" w:hAnsi="仿宋" w:eastAsia="仿宋" w:cs="仿宋"/>
        </w:rPr>
      </w:pPr>
      <w:r>
        <w:rPr>
          <w:rFonts w:hint="eastAsia" w:ascii="仿宋" w:hAnsi="仿宋" w:eastAsia="仿宋" w:cs="仿宋"/>
        </w:rPr>
        <w:t>甲乙双方一致确认无误后将以乙方所开具的运单批次明细及所需的签收单作为结算凭证，甲乙双方约定将产生的各项费用对账完毕，经双方共同核对账目无误后，甲乙双方将相关运输款项，通过银行转账的方式完成结算，同时乙方须向甲方提供正规的增值税专用发票，结算周期为月结30天。</w:t>
      </w:r>
    </w:p>
    <w:p w14:paraId="4FA23BEA">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服务质量要求</w:t>
      </w:r>
    </w:p>
    <w:p w14:paraId="7846BA2D">
      <w:pPr>
        <w:pStyle w:val="13"/>
        <w:numPr>
          <w:ilvl w:val="0"/>
          <w:numId w:val="9"/>
        </w:numPr>
        <w:ind w:firstLineChars="0"/>
        <w:rPr>
          <w:rFonts w:hint="eastAsia" w:ascii="仿宋" w:hAnsi="仿宋" w:eastAsia="仿宋" w:cs="仿宋"/>
        </w:rPr>
      </w:pPr>
      <w:r>
        <w:rPr>
          <w:rFonts w:hint="eastAsia" w:ascii="仿宋" w:hAnsi="仿宋" w:eastAsia="仿宋" w:cs="仿宋"/>
        </w:rPr>
        <w:t>乙方应严格按照本合同约定的范围、方式及流程提供服务，须符合相关法律法规、行业标准要求。</w:t>
      </w:r>
    </w:p>
    <w:p w14:paraId="7C731444">
      <w:pPr>
        <w:pStyle w:val="13"/>
        <w:numPr>
          <w:ilvl w:val="0"/>
          <w:numId w:val="9"/>
        </w:numPr>
        <w:ind w:firstLineChars="0"/>
        <w:rPr>
          <w:rFonts w:hint="eastAsia" w:ascii="仿宋" w:hAnsi="仿宋" w:eastAsia="仿宋" w:cs="仿宋"/>
        </w:rPr>
      </w:pPr>
      <w:r>
        <w:rPr>
          <w:rFonts w:hint="eastAsia" w:ascii="仿宋" w:hAnsi="仿宋" w:eastAsia="仿宋" w:cs="仿宋"/>
        </w:rPr>
        <w:t>乙方应提前将服务人员相关信息提供给甲方，非经甲方书面同意，在服务过程中不得更换。乙方提供的人员应具备履行其职责所必需的专业知识、技能、资质认证及工作经验。</w:t>
      </w:r>
    </w:p>
    <w:p w14:paraId="666C1C2E">
      <w:pPr>
        <w:pStyle w:val="13"/>
        <w:numPr>
          <w:ilvl w:val="0"/>
          <w:numId w:val="9"/>
        </w:numPr>
        <w:ind w:firstLineChars="0"/>
        <w:rPr>
          <w:rFonts w:hint="eastAsia" w:ascii="仿宋" w:hAnsi="仿宋" w:eastAsia="仿宋" w:cs="仿宋"/>
        </w:rPr>
      </w:pPr>
      <w:r>
        <w:rPr>
          <w:rFonts w:hint="eastAsia" w:ascii="仿宋" w:hAnsi="仿宋" w:eastAsia="仿宋" w:cs="仿宋"/>
        </w:rPr>
        <w:t>乙方人员在为甲方提供服务过程中应严格按照相关安全要求作业，乙方人员在履行本合同期间发生的所有安全意外情况由乙方自行承担。非甲方过错导致安全事故造成的全部损失，概由乙方承担全部赔偿责任。</w:t>
      </w:r>
    </w:p>
    <w:p w14:paraId="6E34C51C">
      <w:pPr>
        <w:pStyle w:val="13"/>
        <w:numPr>
          <w:ilvl w:val="0"/>
          <w:numId w:val="9"/>
        </w:numPr>
        <w:ind w:firstLineChars="0"/>
        <w:rPr>
          <w:rFonts w:hint="eastAsia" w:ascii="仿宋" w:hAnsi="仿宋" w:eastAsia="仿宋" w:cs="仿宋"/>
          <w:b w:val="0"/>
          <w:bCs w:val="0"/>
          <w:color w:val="auto"/>
        </w:rPr>
      </w:pPr>
      <w:r>
        <w:rPr>
          <w:rFonts w:hint="eastAsia" w:ascii="仿宋" w:hAnsi="仿宋" w:eastAsia="仿宋" w:cs="仿宋"/>
          <w:b w:val="0"/>
          <w:bCs w:val="0"/>
          <w:color w:val="auto"/>
        </w:rPr>
        <w:t>湖北省内各县市区都能到达，可以提供加急、上楼服务，少量和批量都能到达，保证按照收件人指定位置码放到位，并保证安全不丢失，能签订保密条款，能保证包装内物品不损坏。</w:t>
      </w:r>
    </w:p>
    <w:p w14:paraId="1361835D">
      <w:pPr>
        <w:pStyle w:val="13"/>
        <w:numPr>
          <w:ilvl w:val="0"/>
          <w:numId w:val="9"/>
        </w:numPr>
        <w:ind w:firstLineChars="0"/>
        <w:rPr>
          <w:rFonts w:hint="eastAsia" w:ascii="仿宋" w:hAnsi="仿宋" w:eastAsia="仿宋" w:cs="仿宋"/>
          <w:b w:val="0"/>
          <w:bCs w:val="0"/>
          <w:color w:val="auto"/>
        </w:rPr>
      </w:pPr>
      <w:r>
        <w:rPr>
          <w:rFonts w:hint="eastAsia" w:ascii="仿宋" w:hAnsi="仿宋" w:eastAsia="仿宋" w:cs="仿宋"/>
          <w:b w:val="0"/>
          <w:bCs w:val="0"/>
          <w:color w:val="auto"/>
        </w:rPr>
        <w:t>乙方需具备《快递业务经营许可证》，同城/同省：24小时内送达（宜昌市、恩施州、十堰市下辖县市及神农架林区48小时内送达）固封螺丝要发到县市车管所；</w:t>
      </w:r>
    </w:p>
    <w:p w14:paraId="445194A4">
      <w:pPr>
        <w:pStyle w:val="13"/>
        <w:numPr>
          <w:ilvl w:val="0"/>
          <w:numId w:val="9"/>
        </w:numPr>
        <w:ind w:firstLineChars="0"/>
        <w:rPr>
          <w:rFonts w:hint="eastAsia" w:ascii="仿宋" w:hAnsi="仿宋" w:eastAsia="仿宋" w:cs="仿宋"/>
          <w:b w:val="0"/>
          <w:bCs w:val="0"/>
          <w:color w:val="auto"/>
        </w:rPr>
      </w:pPr>
      <w:r>
        <w:rPr>
          <w:rFonts w:hint="eastAsia" w:ascii="仿宋" w:hAnsi="仿宋" w:eastAsia="仿宋" w:cs="仿宋"/>
          <w:b w:val="0"/>
          <w:bCs w:val="0"/>
          <w:color w:val="auto"/>
        </w:rPr>
        <w:t>每日固定时段下午4：30左右上门揽件（至少1次/日），高峰期支持弹性增派；异常件处理时效应少于或等于2小时，丢件赔付标准按货物实际价值全额赔偿。</w:t>
      </w:r>
    </w:p>
    <w:p w14:paraId="1A3CECEC">
      <w:pPr>
        <w:pStyle w:val="13"/>
        <w:numPr>
          <w:ilvl w:val="0"/>
          <w:numId w:val="9"/>
        </w:numPr>
        <w:ind w:firstLineChars="0"/>
        <w:rPr>
          <w:rFonts w:hint="eastAsia" w:ascii="仿宋" w:hAnsi="仿宋" w:eastAsia="仿宋" w:cs="仿宋"/>
          <w:b w:val="0"/>
          <w:bCs w:val="0"/>
          <w:color w:val="auto"/>
        </w:rPr>
      </w:pPr>
      <w:r>
        <w:rPr>
          <w:rFonts w:hint="eastAsia" w:ascii="仿宋" w:hAnsi="仿宋" w:eastAsia="仿宋" w:cs="仿宋"/>
          <w:b w:val="0"/>
          <w:bCs w:val="0"/>
          <w:color w:val="auto"/>
        </w:rPr>
        <w:t>甲方查询，乙方应在2小时内响应并将查询结果告知甲方。如在投递过程中发生邮件延误，乙方应在24小时内处理并投递，如超过三日未投递邮件，乙方需要将邮件延误情况提供书面报告给甲方以及号牌办理单位车管所备档，并自投递延误之日起每日将扣减当月总邮费的1%当月发生超过三次延误事故，扣减当月总邮费的10%。</w:t>
      </w:r>
    </w:p>
    <w:p w14:paraId="71795F37">
      <w:pPr>
        <w:pStyle w:val="13"/>
        <w:numPr>
          <w:ilvl w:val="0"/>
          <w:numId w:val="9"/>
        </w:numPr>
        <w:ind w:firstLineChars="0"/>
        <w:rPr>
          <w:rFonts w:hint="eastAsia" w:ascii="仿宋" w:hAnsi="仿宋" w:eastAsia="仿宋" w:cs="仿宋"/>
          <w:b w:val="0"/>
          <w:bCs w:val="0"/>
          <w:color w:val="auto"/>
        </w:rPr>
      </w:pPr>
      <w:r>
        <w:rPr>
          <w:rFonts w:hint="eastAsia" w:ascii="仿宋" w:hAnsi="仿宋" w:eastAsia="仿宋" w:cs="仿宋"/>
          <w:b w:val="0"/>
          <w:bCs w:val="0"/>
          <w:color w:val="auto"/>
        </w:rPr>
        <w:t>号牌运输过程中损毁、灭失等风险自乙方接收后转移给乙方，如乙方在投递过程中发生丢失、短少、损毁（除不可抗力的因素），乙方应赔付甲方成本费、免受此单邮费，同时提供书面报告给甲方备档。号牌丢失的，乙方应承担法律责任并及时按照邮政法相关规定对</w:t>
      </w:r>
      <w:r>
        <w:rPr>
          <w:rFonts w:hint="eastAsia" w:ascii="仿宋" w:hAnsi="仿宋" w:eastAsia="仿宋" w:cs="仿宋"/>
          <w:b w:val="0"/>
          <w:bCs w:val="0"/>
          <w:color w:val="auto"/>
          <w:highlight w:val="none"/>
        </w:rPr>
        <w:t>号牌申请人</w:t>
      </w:r>
      <w:r>
        <w:rPr>
          <w:rFonts w:hint="eastAsia" w:ascii="仿宋" w:hAnsi="仿宋" w:eastAsia="仿宋" w:cs="仿宋"/>
          <w:b w:val="0"/>
          <w:bCs w:val="0"/>
          <w:color w:val="auto"/>
        </w:rPr>
        <w:t>进行赔付，协助其挂失、补办号牌，同时提供书面报告给甲方以及号牌办理单位车管所备档。</w:t>
      </w:r>
    </w:p>
    <w:p w14:paraId="4A03B769">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履约保证金</w:t>
      </w:r>
    </w:p>
    <w:p w14:paraId="22742E75">
      <w:pPr>
        <w:pStyle w:val="13"/>
        <w:numPr>
          <w:ilvl w:val="0"/>
          <w:numId w:val="10"/>
        </w:numPr>
        <w:ind w:firstLineChars="0"/>
        <w:rPr>
          <w:rFonts w:hint="eastAsia" w:ascii="仿宋" w:hAnsi="仿宋" w:eastAsia="仿宋" w:cs="仿宋"/>
        </w:rPr>
      </w:pPr>
      <w:r>
        <w:rPr>
          <w:rFonts w:hint="eastAsia" w:ascii="仿宋" w:hAnsi="仿宋" w:eastAsia="仿宋" w:cs="仿宋"/>
        </w:rPr>
        <w:t>履约保证金的数额：乙方向甲方支付肆万（¥：40000.00）元作为履约保证金。</w:t>
      </w:r>
    </w:p>
    <w:p w14:paraId="0E33E329">
      <w:pPr>
        <w:pStyle w:val="13"/>
        <w:numPr>
          <w:ilvl w:val="0"/>
          <w:numId w:val="10"/>
        </w:numPr>
        <w:ind w:firstLineChars="0"/>
        <w:rPr>
          <w:rFonts w:hint="eastAsia" w:ascii="仿宋" w:hAnsi="仿宋" w:eastAsia="仿宋" w:cs="仿宋"/>
        </w:rPr>
      </w:pPr>
      <w:r>
        <w:rPr>
          <w:rFonts w:hint="eastAsia" w:ascii="仿宋" w:hAnsi="仿宋" w:eastAsia="仿宋" w:cs="仿宋"/>
        </w:rPr>
        <w:t>履约保证金的支付方式：</w:t>
      </w:r>
    </w:p>
    <w:p w14:paraId="1B6EF965">
      <w:pPr>
        <w:pStyle w:val="13"/>
        <w:ind w:firstLine="480"/>
        <w:rPr>
          <w:rFonts w:hint="eastAsia" w:ascii="仿宋" w:hAnsi="仿宋" w:eastAsia="仿宋" w:cs="仿宋"/>
        </w:rPr>
      </w:pPr>
      <w:r>
        <w:rPr>
          <w:rFonts w:hint="eastAsia" w:ascii="仿宋" w:hAnsi="仿宋" w:eastAsia="仿宋" w:cs="仿宋"/>
        </w:rPr>
        <w:t>乙方在本合同签订之日起七个工作日内将履约保证金以网银汇款方式足额支付至甲方指定银行账户。否则，视为乙方单方解除本合同，应按本合同第十条约定承担违约责任、赔偿甲方损失。</w:t>
      </w:r>
    </w:p>
    <w:p w14:paraId="1998F947">
      <w:pPr>
        <w:pStyle w:val="13"/>
        <w:numPr>
          <w:ilvl w:val="0"/>
          <w:numId w:val="10"/>
        </w:numPr>
        <w:ind w:firstLineChars="0"/>
        <w:rPr>
          <w:rFonts w:hint="eastAsia" w:ascii="仿宋" w:hAnsi="仿宋" w:eastAsia="仿宋" w:cs="仿宋"/>
        </w:rPr>
      </w:pPr>
      <w:r>
        <w:rPr>
          <w:rFonts w:hint="eastAsia" w:ascii="仿宋" w:hAnsi="仿宋" w:eastAsia="仿宋" w:cs="仿宋"/>
        </w:rPr>
        <w:t>履约保证金系乙方确保按照本合同约定履行义务的担保，如乙方不履行或不全面履行本合同义务，除履约保证金不予退还外，乙方还应按本合同第十条约定承担违约责任、赔偿甲方损失。</w:t>
      </w:r>
    </w:p>
    <w:p w14:paraId="30F66CCB">
      <w:pPr>
        <w:pStyle w:val="13"/>
        <w:numPr>
          <w:ilvl w:val="0"/>
          <w:numId w:val="10"/>
        </w:numPr>
        <w:ind w:firstLineChars="0"/>
        <w:rPr>
          <w:rFonts w:hint="eastAsia" w:ascii="仿宋" w:hAnsi="仿宋" w:eastAsia="仿宋" w:cs="仿宋"/>
        </w:rPr>
      </w:pPr>
      <w:r>
        <w:rPr>
          <w:rFonts w:hint="eastAsia" w:ascii="仿宋" w:hAnsi="仿宋" w:eastAsia="仿宋" w:cs="仿宋"/>
        </w:rPr>
        <w:t>若本合同履行完毕且乙方无任何违约行为，甲方在七个工作日内将履约保证金无息退还给乙方。</w:t>
      </w:r>
    </w:p>
    <w:p w14:paraId="7041F0FB">
      <w:pPr>
        <w:pStyle w:val="2"/>
        <w:numPr>
          <w:ilvl w:val="0"/>
          <w:numId w:val="7"/>
        </w:numPr>
        <w:rPr>
          <w:rFonts w:hint="eastAsia" w:ascii="仿宋" w:hAnsi="仿宋" w:eastAsia="仿宋" w:cs="仿宋"/>
          <w:sz w:val="24"/>
          <w:szCs w:val="24"/>
        </w:rPr>
      </w:pPr>
      <w:r>
        <w:rPr>
          <w:rFonts w:ascii="仿宋" w:hAnsi="仿宋" w:eastAsia="仿宋" w:cs="仿宋"/>
          <w:sz w:val="24"/>
          <w:szCs w:val="24"/>
        </w:rPr>
        <w:t>结算与</w:t>
      </w:r>
      <w:r>
        <w:rPr>
          <w:rFonts w:hint="eastAsia" w:ascii="仿宋" w:hAnsi="仿宋" w:eastAsia="仿宋" w:cs="仿宋"/>
          <w:sz w:val="24"/>
          <w:szCs w:val="24"/>
        </w:rPr>
        <w:t>付款方式：</w:t>
      </w:r>
    </w:p>
    <w:p w14:paraId="767597E5">
      <w:pPr>
        <w:pStyle w:val="13"/>
        <w:numPr>
          <w:ilvl w:val="0"/>
          <w:numId w:val="11"/>
        </w:numPr>
        <w:ind w:firstLineChars="0"/>
        <w:rPr>
          <w:rFonts w:hint="eastAsia" w:ascii="仿宋" w:hAnsi="仿宋" w:eastAsia="仿宋" w:cs="仿宋"/>
        </w:rPr>
      </w:pPr>
      <w:r>
        <w:rPr>
          <w:rFonts w:hint="eastAsia" w:ascii="仿宋" w:hAnsi="仿宋" w:eastAsia="仿宋" w:cs="仿宋"/>
        </w:rPr>
        <w:t>乙方应于当月13日前向甲方提供对账单，注明乙方自上月11日至本月10日期间（</w:t>
      </w:r>
      <w:r>
        <w:rPr>
          <w:rFonts w:ascii="仿宋" w:hAnsi="仿宋" w:eastAsia="仿宋" w:cs="仿宋"/>
        </w:rPr>
        <w:t>统计周期</w:t>
      </w:r>
      <w:r>
        <w:rPr>
          <w:rFonts w:hint="eastAsia" w:ascii="仿宋" w:hAnsi="仿宋" w:eastAsia="仿宋" w:cs="仿宋"/>
        </w:rPr>
        <w:t>）实际完成的服务项目及价款；经甲乙双方核实无误后，当月15日前乙方应出具增值税专用发票</w:t>
      </w:r>
      <w:r>
        <w:rPr>
          <w:rFonts w:hint="eastAsia" w:ascii="仿宋" w:hAnsi="仿宋" w:eastAsia="仿宋" w:cs="仿宋"/>
          <w:highlight w:val="none"/>
        </w:rPr>
        <w:t>（税率</w:t>
      </w:r>
      <w:r>
        <w:rPr>
          <w:rFonts w:hint="eastAsia" w:ascii="仿宋" w:hAnsi="仿宋" w:eastAsia="仿宋" w:cs="仿宋"/>
          <w:highlight w:val="none"/>
          <w:lang w:val="en-US" w:eastAsia="zh-CN"/>
        </w:rPr>
        <w:t>9</w:t>
      </w:r>
      <w:r>
        <w:rPr>
          <w:rFonts w:hint="eastAsia" w:ascii="仿宋" w:hAnsi="仿宋" w:eastAsia="仿宋" w:cs="仿宋"/>
          <w:highlight w:val="none"/>
        </w:rPr>
        <w:t>%</w:t>
      </w:r>
      <w:r>
        <w:rPr>
          <w:rFonts w:hint="eastAsia" w:ascii="仿宋" w:hAnsi="仿宋" w:eastAsia="仿宋" w:cs="仿宋"/>
          <w:highlight w:val="none"/>
          <w:lang w:val="en-US" w:eastAsia="zh-CN"/>
        </w:rPr>
        <w:t>/6</w:t>
      </w:r>
      <w:r>
        <w:rPr>
          <w:rFonts w:hint="eastAsia" w:ascii="仿宋" w:hAnsi="仿宋" w:eastAsia="仿宋" w:cs="仿宋"/>
          <w:highlight w:val="none"/>
        </w:rPr>
        <w:t>%）</w:t>
      </w:r>
      <w:r>
        <w:rPr>
          <w:rFonts w:hint="eastAsia" w:ascii="仿宋" w:hAnsi="仿宋" w:eastAsia="仿宋" w:cs="仿宋"/>
        </w:rPr>
        <w:t>。6个月内，甲方依据乙方开具的发票办理付款手续。若因乙方逾期未提供符合本合同约定的发票及快递对账清单，甲方有权顺延合同款的支付期限且无须承担任何责任。</w:t>
      </w:r>
    </w:p>
    <w:p w14:paraId="24273C0D">
      <w:pPr>
        <w:pStyle w:val="13"/>
        <w:numPr>
          <w:ilvl w:val="0"/>
          <w:numId w:val="11"/>
        </w:numPr>
        <w:ind w:firstLineChars="0"/>
        <w:rPr>
          <w:rFonts w:hint="eastAsia" w:ascii="仿宋" w:hAnsi="仿宋" w:eastAsia="仿宋" w:cs="仿宋"/>
        </w:rPr>
      </w:pPr>
      <w:r>
        <w:rPr>
          <w:rFonts w:hint="eastAsia" w:ascii="仿宋" w:hAnsi="仿宋" w:eastAsia="仿宋" w:cs="仿宋"/>
        </w:rPr>
        <w:t>双方不以现金方式结算运费，应以银行转账方式进行结算。</w:t>
      </w:r>
    </w:p>
    <w:p w14:paraId="3F3DC802">
      <w:pPr>
        <w:pStyle w:val="13"/>
        <w:numPr>
          <w:ilvl w:val="0"/>
          <w:numId w:val="11"/>
        </w:numPr>
        <w:ind w:firstLineChars="0"/>
        <w:rPr>
          <w:rFonts w:hint="eastAsia" w:ascii="仿宋" w:hAnsi="仿宋" w:eastAsia="仿宋" w:cs="仿宋"/>
        </w:rPr>
      </w:pPr>
      <w:r>
        <w:rPr>
          <w:rFonts w:hint="eastAsia" w:ascii="仿宋" w:hAnsi="仿宋" w:eastAsia="仿宋" w:cs="仿宋"/>
        </w:rPr>
        <w:t>除不可抗力或正当理由外，甲方应按照本合同约定付款。</w:t>
      </w:r>
    </w:p>
    <w:p w14:paraId="2F0A13E5">
      <w:pPr>
        <w:pStyle w:val="13"/>
        <w:numPr>
          <w:ilvl w:val="0"/>
          <w:numId w:val="11"/>
        </w:numPr>
        <w:ind w:firstLineChars="0"/>
        <w:rPr>
          <w:rFonts w:hint="eastAsia" w:ascii="仿宋" w:hAnsi="仿宋" w:eastAsia="仿宋" w:cs="仿宋"/>
        </w:rPr>
      </w:pPr>
      <w:r>
        <w:rPr>
          <w:rFonts w:hint="eastAsia" w:ascii="仿宋" w:hAnsi="仿宋" w:eastAsia="仿宋" w:cs="仿宋"/>
        </w:rPr>
        <w:t>若因乙方逾期未提供符合本合同约定的发票及对账清单，甲方有权顺延上述付款期限且无须承担任何违约责任。</w:t>
      </w:r>
    </w:p>
    <w:p w14:paraId="0CCF9F9C">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售后服务</w:t>
      </w:r>
    </w:p>
    <w:p w14:paraId="25D41E34">
      <w:pPr>
        <w:pStyle w:val="13"/>
        <w:numPr>
          <w:ilvl w:val="0"/>
          <w:numId w:val="12"/>
        </w:numPr>
        <w:ind w:firstLineChars="0"/>
        <w:rPr>
          <w:rFonts w:hint="eastAsia" w:ascii="仿宋" w:hAnsi="仿宋" w:eastAsia="仿宋" w:cs="仿宋"/>
        </w:rPr>
      </w:pPr>
      <w:r>
        <w:rPr>
          <w:rFonts w:hint="eastAsia" w:ascii="仿宋" w:hAnsi="仿宋" w:eastAsia="仿宋" w:cs="仿宋"/>
        </w:rPr>
        <w:t>乙方需提供实时货物追踪系统（如在线平台、APP或电话查询），确保客户可随时查询货物状态、位置及预计送达时间等。</w:t>
      </w:r>
    </w:p>
    <w:p w14:paraId="69119C49">
      <w:pPr>
        <w:pStyle w:val="13"/>
        <w:numPr>
          <w:ilvl w:val="0"/>
          <w:numId w:val="12"/>
        </w:numPr>
        <w:ind w:firstLineChars="0"/>
        <w:rPr>
          <w:rFonts w:hint="eastAsia" w:ascii="仿宋" w:hAnsi="仿宋" w:eastAsia="仿宋" w:cs="仿宋"/>
        </w:rPr>
      </w:pPr>
      <w:r>
        <w:rPr>
          <w:rFonts w:hint="eastAsia" w:ascii="仿宋" w:hAnsi="仿宋" w:eastAsia="仿宋" w:cs="仿宋"/>
        </w:rPr>
        <w:t>针对运输中的货物损坏、丢失、延误等问题，乙方需在接到客户通知后30分钟内启动调查，并定期反馈处理进展。</w:t>
      </w:r>
    </w:p>
    <w:p w14:paraId="3CB546B3">
      <w:pPr>
        <w:pStyle w:val="13"/>
        <w:numPr>
          <w:ilvl w:val="0"/>
          <w:numId w:val="12"/>
        </w:numPr>
        <w:ind w:firstLineChars="0"/>
        <w:rPr>
          <w:rFonts w:hint="eastAsia" w:ascii="仿宋" w:hAnsi="仿宋" w:eastAsia="仿宋" w:cs="仿宋"/>
        </w:rPr>
      </w:pPr>
      <w:r>
        <w:rPr>
          <w:rFonts w:hint="eastAsia" w:ascii="仿宋" w:hAnsi="仿宋" w:eastAsia="仿宋" w:cs="仿宋"/>
        </w:rPr>
        <w:t>设立专用投诉渠道（如客服热线、邮箱），承诺在5个工作日内给出书面答复及解决方案。</w:t>
      </w:r>
    </w:p>
    <w:p w14:paraId="3D073AD5">
      <w:pPr>
        <w:pStyle w:val="13"/>
        <w:numPr>
          <w:ilvl w:val="0"/>
          <w:numId w:val="12"/>
        </w:numPr>
        <w:ind w:firstLineChars="0"/>
        <w:rPr>
          <w:rFonts w:hint="eastAsia" w:ascii="仿宋" w:hAnsi="仿宋" w:eastAsia="仿宋" w:cs="仿宋"/>
        </w:rPr>
      </w:pPr>
      <w:r>
        <w:rPr>
          <w:rFonts w:hint="eastAsia" w:ascii="仿宋" w:hAnsi="仿宋" w:eastAsia="仿宋" w:cs="仿宋"/>
        </w:rPr>
        <w:t>若因乙方责任导致货物无法按时送达或损毁，乙方需承担退换货、重新配送或补偿等费用。</w:t>
      </w:r>
    </w:p>
    <w:p w14:paraId="676852AF">
      <w:pPr>
        <w:pStyle w:val="13"/>
        <w:numPr>
          <w:ilvl w:val="0"/>
          <w:numId w:val="12"/>
        </w:numPr>
        <w:ind w:firstLineChars="0"/>
        <w:rPr>
          <w:rFonts w:hint="eastAsia" w:ascii="仿宋" w:hAnsi="仿宋" w:eastAsia="仿宋" w:cs="仿宋"/>
        </w:rPr>
      </w:pPr>
      <w:r>
        <w:rPr>
          <w:rFonts w:hint="eastAsia" w:ascii="仿宋" w:hAnsi="仿宋" w:eastAsia="仿宋" w:cs="仿宋"/>
        </w:rPr>
        <w:t>若货物已投保，乙方需协助客户准备理赔材料（如损失证明、监控录像等），并配合保险流程。</w:t>
      </w:r>
    </w:p>
    <w:p w14:paraId="34FC49C4">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保密要求</w:t>
      </w:r>
    </w:p>
    <w:p w14:paraId="260BF2DA">
      <w:pPr>
        <w:pStyle w:val="13"/>
        <w:numPr>
          <w:ilvl w:val="0"/>
          <w:numId w:val="13"/>
        </w:numPr>
        <w:ind w:firstLineChars="0"/>
        <w:rPr>
          <w:rFonts w:hint="eastAsia" w:ascii="仿宋" w:hAnsi="仿宋" w:eastAsia="仿宋" w:cs="仿宋"/>
        </w:rPr>
      </w:pPr>
      <w:r>
        <w:rPr>
          <w:rFonts w:hint="eastAsia" w:ascii="仿宋" w:hAnsi="仿宋" w:eastAsia="仿宋" w:cs="仿宋"/>
        </w:rPr>
        <w:t>双方同意对在合作过程中获知的对方商业秘密、客户数据及其他未公开信息（统称“保密信息”）予以保密。</w:t>
      </w:r>
    </w:p>
    <w:p w14:paraId="07661F61">
      <w:pPr>
        <w:pStyle w:val="13"/>
        <w:numPr>
          <w:ilvl w:val="0"/>
          <w:numId w:val="13"/>
        </w:numPr>
        <w:ind w:firstLineChars="0"/>
        <w:rPr>
          <w:rFonts w:hint="eastAsia" w:ascii="仿宋" w:hAnsi="仿宋" w:eastAsia="仿宋" w:cs="仿宋"/>
        </w:rPr>
      </w:pPr>
      <w:r>
        <w:rPr>
          <w:rFonts w:hint="eastAsia" w:ascii="仿宋" w:hAnsi="仿宋" w:eastAsia="仿宋" w:cs="仿宋"/>
        </w:rPr>
        <w:t>未经对方书面同意，任何一方不得将保密信息用于本合同之外目的，或向第三方披露。</w:t>
      </w:r>
    </w:p>
    <w:p w14:paraId="1D91F69F">
      <w:pPr>
        <w:pStyle w:val="13"/>
        <w:numPr>
          <w:ilvl w:val="0"/>
          <w:numId w:val="13"/>
        </w:numPr>
        <w:ind w:firstLineChars="0"/>
        <w:rPr>
          <w:rFonts w:hint="eastAsia" w:ascii="仿宋" w:hAnsi="仿宋" w:eastAsia="仿宋" w:cs="仿宋"/>
        </w:rPr>
      </w:pPr>
      <w:r>
        <w:rPr>
          <w:rFonts w:hint="eastAsia" w:ascii="仿宋" w:hAnsi="仿宋" w:eastAsia="仿宋" w:cs="仿宋"/>
        </w:rPr>
        <w:t>本条款效力持续至合同终止后</w:t>
      </w:r>
      <w:r>
        <w:rPr>
          <w:rFonts w:hint="eastAsia" w:ascii="仿宋" w:hAnsi="仿宋" w:eastAsia="仿宋" w:cs="仿宋"/>
          <w:lang w:val="en-US" w:eastAsia="zh-CN"/>
        </w:rPr>
        <w:t>5</w:t>
      </w:r>
      <w:r>
        <w:rPr>
          <w:rFonts w:hint="eastAsia" w:ascii="仿宋" w:hAnsi="仿宋" w:eastAsia="仿宋" w:cs="仿宋"/>
        </w:rPr>
        <w:t>年，或保密信息依法公开之日（以较早者为准）。</w:t>
      </w:r>
    </w:p>
    <w:p w14:paraId="02042D1C">
      <w:pPr>
        <w:pStyle w:val="13"/>
        <w:numPr>
          <w:ilvl w:val="0"/>
          <w:numId w:val="13"/>
        </w:numPr>
        <w:ind w:firstLineChars="0"/>
        <w:rPr>
          <w:rFonts w:hint="eastAsia" w:ascii="仿宋" w:hAnsi="仿宋" w:eastAsia="仿宋" w:cs="仿宋"/>
        </w:rPr>
      </w:pPr>
      <w:r>
        <w:rPr>
          <w:rFonts w:hint="eastAsia" w:ascii="仿宋" w:hAnsi="仿宋" w:eastAsia="仿宋" w:cs="仿宋"/>
        </w:rPr>
        <w:t>违约方应承担全部赔偿责任，包括但不限于直接经济损失、律师费及调查费用。</w:t>
      </w:r>
    </w:p>
    <w:p w14:paraId="04BA6F56">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违约责任</w:t>
      </w:r>
    </w:p>
    <w:p w14:paraId="0739CFC6">
      <w:pPr>
        <w:pStyle w:val="3"/>
        <w:numPr>
          <w:ilvl w:val="0"/>
          <w:numId w:val="14"/>
        </w:numPr>
        <w:rPr>
          <w:rFonts w:hint="eastAsia" w:ascii="仿宋" w:hAnsi="仿宋" w:eastAsia="仿宋" w:cs="仿宋"/>
          <w:sz w:val="24"/>
          <w:szCs w:val="24"/>
        </w:rPr>
      </w:pPr>
      <w:r>
        <w:rPr>
          <w:rFonts w:hint="eastAsia" w:ascii="仿宋" w:hAnsi="仿宋" w:eastAsia="仿宋" w:cs="仿宋"/>
          <w:sz w:val="24"/>
          <w:szCs w:val="24"/>
        </w:rPr>
        <w:t>乙方违约及处理</w:t>
      </w:r>
    </w:p>
    <w:p w14:paraId="6B8CD0DC">
      <w:pPr>
        <w:pStyle w:val="13"/>
        <w:numPr>
          <w:ilvl w:val="0"/>
          <w:numId w:val="15"/>
        </w:numPr>
        <w:ind w:firstLineChars="0"/>
        <w:rPr>
          <w:rFonts w:hint="eastAsia" w:ascii="仿宋" w:hAnsi="仿宋" w:eastAsia="仿宋" w:cs="仿宋"/>
        </w:rPr>
      </w:pPr>
      <w:r>
        <w:rPr>
          <w:rFonts w:hint="eastAsia" w:ascii="仿宋" w:hAnsi="仿宋" w:eastAsia="仿宋" w:cs="仿宋"/>
        </w:rPr>
        <w:t>乙方未按期提供服务的，每延迟一天，按合同总价款的5‰向甲方支付违约金，如延迟时间达15天及以上的，甲方有权单方解除合同，同时乙方按合同总价的20%向甲方支付违约金，并赔偿因此给甲方造成的全部损失（包括但不限于直接经济损失、本合同可期待利益损失、评估费、鉴定费、公证费、诉讼费、保全费、担保费、律师费、第三方索赔损失等）。</w:t>
      </w:r>
    </w:p>
    <w:p w14:paraId="5CD94E70">
      <w:pPr>
        <w:pStyle w:val="13"/>
        <w:numPr>
          <w:ilvl w:val="0"/>
          <w:numId w:val="15"/>
        </w:numPr>
        <w:ind w:firstLineChars="0"/>
        <w:rPr>
          <w:rFonts w:hint="eastAsia" w:ascii="仿宋" w:hAnsi="仿宋" w:eastAsia="仿宋" w:cs="仿宋"/>
        </w:rPr>
      </w:pPr>
      <w:r>
        <w:rPr>
          <w:rFonts w:hint="eastAsia" w:ascii="仿宋" w:hAnsi="仿宋" w:eastAsia="仿宋" w:cs="仿宋"/>
        </w:rPr>
        <w:t>乙方发生违约情况，甲方可要求其限期改正或按本合同约定承担违约责任。如在规定期限内乙方不及时改正或承担违约责任的，甲方可通知乙方立即解除本合同，并赔偿因此给甲方造成的全部损失（包括但不限于直接经济损失、本合同可期待利益损失、评估费、鉴定费、公证费、诉讼费、保全费、担保费、律师费、第三方索赔损失等）。</w:t>
      </w:r>
    </w:p>
    <w:p w14:paraId="74FA7286">
      <w:pPr>
        <w:pStyle w:val="13"/>
        <w:numPr>
          <w:ilvl w:val="0"/>
          <w:numId w:val="15"/>
        </w:numPr>
        <w:ind w:firstLineChars="0"/>
        <w:rPr>
          <w:rFonts w:hint="eastAsia" w:ascii="仿宋" w:hAnsi="仿宋" w:eastAsia="仿宋" w:cs="仿宋"/>
        </w:rPr>
      </w:pPr>
      <w:r>
        <w:rPr>
          <w:rFonts w:hint="eastAsia" w:ascii="仿宋" w:hAnsi="仿宋" w:eastAsia="仿宋" w:cs="仿宋"/>
        </w:rPr>
        <w:t>提供干净整洁，无污染之车辆运输，装卸货物时清点好数量，检查货物外包装质量，拒绝破损不良品上车；</w:t>
      </w:r>
    </w:p>
    <w:p w14:paraId="45DD794E">
      <w:pPr>
        <w:pStyle w:val="13"/>
        <w:numPr>
          <w:ilvl w:val="0"/>
          <w:numId w:val="15"/>
        </w:numPr>
        <w:ind w:firstLineChars="0"/>
        <w:rPr>
          <w:rFonts w:hint="eastAsia" w:ascii="仿宋" w:hAnsi="仿宋" w:eastAsia="仿宋" w:cs="仿宋"/>
        </w:rPr>
      </w:pPr>
      <w:r>
        <w:rPr>
          <w:rFonts w:hint="eastAsia" w:ascii="仿宋" w:hAnsi="仿宋" w:eastAsia="仿宋" w:cs="仿宋"/>
        </w:rPr>
        <w:t>复核甲方提供的货物重量和体积，按照双方约定的运输价格开具《货物运单》，办理发货的交接手续；</w:t>
      </w:r>
    </w:p>
    <w:p w14:paraId="759C8C62">
      <w:pPr>
        <w:pStyle w:val="13"/>
        <w:numPr>
          <w:ilvl w:val="0"/>
          <w:numId w:val="15"/>
        </w:numPr>
        <w:ind w:firstLineChars="0"/>
        <w:rPr>
          <w:rFonts w:hint="eastAsia" w:ascii="仿宋" w:hAnsi="仿宋" w:eastAsia="仿宋" w:cs="仿宋"/>
        </w:rPr>
      </w:pPr>
      <w:r>
        <w:rPr>
          <w:rFonts w:hint="eastAsia" w:ascii="仿宋" w:hAnsi="仿宋" w:eastAsia="仿宋" w:cs="仿宋"/>
        </w:rPr>
        <w:t>提高服务质量，保障签单准确、完整，按双方约定完成相应快递服务的市内短途服务，合理收取短途服务费用。</w:t>
      </w:r>
    </w:p>
    <w:p w14:paraId="55AF39FA">
      <w:pPr>
        <w:pStyle w:val="13"/>
        <w:numPr>
          <w:ilvl w:val="0"/>
          <w:numId w:val="15"/>
        </w:numPr>
        <w:ind w:firstLineChars="0"/>
        <w:rPr>
          <w:rFonts w:hint="eastAsia" w:ascii="仿宋" w:hAnsi="仿宋" w:eastAsia="仿宋" w:cs="仿宋"/>
        </w:rPr>
      </w:pPr>
      <w:r>
        <w:rPr>
          <w:rFonts w:hint="eastAsia" w:ascii="仿宋" w:hAnsi="仿宋" w:eastAsia="仿宋" w:cs="仿宋"/>
        </w:rPr>
        <w:t>积极宣传货物保价、线路开通、运费调整、质量事故的处理等有关双方合作的相关事项，重要变动及事项以书面形式送达给甲方签收，确保双方之间的沟通顺畅；</w:t>
      </w:r>
    </w:p>
    <w:p w14:paraId="5A1D69F7">
      <w:pPr>
        <w:pStyle w:val="13"/>
        <w:numPr>
          <w:ilvl w:val="0"/>
          <w:numId w:val="15"/>
        </w:numPr>
        <w:ind w:firstLineChars="0"/>
        <w:rPr>
          <w:rFonts w:hint="eastAsia" w:ascii="仿宋" w:hAnsi="仿宋" w:eastAsia="仿宋" w:cs="仿宋"/>
        </w:rPr>
      </w:pPr>
      <w:r>
        <w:rPr>
          <w:rFonts w:hint="eastAsia" w:ascii="仿宋" w:hAnsi="仿宋" w:eastAsia="仿宋" w:cs="仿宋"/>
        </w:rPr>
        <w:t>甲方委托乙方承运的货物，由于乙方直接原因造成损坏、丢失等任何损失，乙方须在30分钟内通知甲方。</w:t>
      </w:r>
    </w:p>
    <w:p w14:paraId="717D40AF">
      <w:pPr>
        <w:pStyle w:val="13"/>
        <w:ind w:firstLine="480"/>
        <w:rPr>
          <w:rFonts w:hint="eastAsia" w:ascii="仿宋" w:hAnsi="仿宋" w:eastAsia="仿宋" w:cs="仿宋"/>
        </w:rPr>
      </w:pPr>
      <w:r>
        <w:rPr>
          <w:rFonts w:hint="eastAsia" w:ascii="仿宋" w:hAnsi="仿宋" w:eastAsia="仿宋" w:cs="仿宋"/>
        </w:rPr>
        <w:t>赔偿流程：货损的就地处理，货差的发货之日起一个月乙方须处理；客户选择在甲方处理的，乙方须协助甲方妥善处理，理赔款7天内支付，避免客户流失。</w:t>
      </w:r>
    </w:p>
    <w:p w14:paraId="131FBA4C">
      <w:pPr>
        <w:pStyle w:val="13"/>
        <w:ind w:firstLine="480"/>
        <w:rPr>
          <w:rFonts w:hint="eastAsia" w:ascii="仿宋" w:hAnsi="仿宋" w:eastAsia="仿宋" w:cs="仿宋"/>
        </w:rPr>
      </w:pPr>
      <w:r>
        <w:rPr>
          <w:rFonts w:hint="eastAsia" w:ascii="仿宋" w:hAnsi="仿宋" w:eastAsia="仿宋" w:cs="仿宋"/>
        </w:rPr>
        <w:t>赔偿标准：乙方保证货物安全到达，货物出现数量短缺、丢失、损坏等情况，乙方按照短缺、丢失、损坏货物的实际价值赔付（实际价值难以确定，按照甲方客户《索赔函》索赔价值赔付），甲方提供的理赔价值证明材料需真实可靠，若出现弄虚作假等恶意理赔现象，乙方则不予理赔.</w:t>
      </w:r>
    </w:p>
    <w:p w14:paraId="3F36AEA3">
      <w:pPr>
        <w:pStyle w:val="3"/>
        <w:numPr>
          <w:ilvl w:val="0"/>
          <w:numId w:val="14"/>
        </w:numPr>
        <w:rPr>
          <w:rFonts w:hint="eastAsia" w:ascii="仿宋" w:hAnsi="仿宋" w:eastAsia="仿宋" w:cs="仿宋"/>
          <w:sz w:val="24"/>
          <w:szCs w:val="24"/>
        </w:rPr>
      </w:pPr>
      <w:r>
        <w:rPr>
          <w:rFonts w:hint="eastAsia" w:ascii="仿宋" w:hAnsi="仿宋" w:eastAsia="仿宋" w:cs="仿宋"/>
          <w:sz w:val="24"/>
          <w:szCs w:val="24"/>
        </w:rPr>
        <w:t>甲方违约及处理</w:t>
      </w:r>
    </w:p>
    <w:p w14:paraId="01D12771">
      <w:pPr>
        <w:pStyle w:val="13"/>
        <w:numPr>
          <w:ilvl w:val="0"/>
          <w:numId w:val="16"/>
        </w:numPr>
        <w:ind w:firstLineChars="0"/>
        <w:rPr>
          <w:rFonts w:hint="eastAsia" w:ascii="仿宋" w:hAnsi="仿宋" w:eastAsia="仿宋" w:cs="仿宋"/>
        </w:rPr>
      </w:pPr>
      <w:r>
        <w:rPr>
          <w:rFonts w:hint="eastAsia" w:ascii="仿宋" w:hAnsi="仿宋" w:eastAsia="仿宋" w:cs="仿宋"/>
        </w:rPr>
        <w:t>甲方无法继续履行或明确表示不履行或实质上已停止履行合同的，乙方可先向甲方发出书面通知，要求其采取有效措施纠正违约行为。甲方在收到乙方通知30天后仍不履行合同义务，乙方有权暂停服务。</w:t>
      </w:r>
    </w:p>
    <w:p w14:paraId="116C341C">
      <w:pPr>
        <w:pStyle w:val="13"/>
        <w:numPr>
          <w:ilvl w:val="0"/>
          <w:numId w:val="16"/>
        </w:numPr>
        <w:ind w:firstLineChars="0"/>
        <w:rPr>
          <w:rFonts w:hint="eastAsia" w:ascii="仿宋" w:hAnsi="仿宋" w:eastAsia="仿宋" w:cs="仿宋"/>
        </w:rPr>
      </w:pPr>
      <w:r>
        <w:rPr>
          <w:rFonts w:hint="eastAsia" w:ascii="仿宋" w:hAnsi="仿宋" w:eastAsia="仿宋" w:cs="仿宋"/>
        </w:rPr>
        <w:t>不得将国家禁运物资、易燃、易爆、有毒、强腐蚀、强挥发性、放射性等危险物品交乙方承运，易碎、易损品应符合长途运输包装要求，须用木箱包装；</w:t>
      </w:r>
    </w:p>
    <w:p w14:paraId="25BF002C">
      <w:pPr>
        <w:pStyle w:val="13"/>
        <w:numPr>
          <w:ilvl w:val="0"/>
          <w:numId w:val="16"/>
        </w:numPr>
        <w:ind w:firstLineChars="0"/>
        <w:rPr>
          <w:rFonts w:hint="eastAsia" w:ascii="仿宋" w:hAnsi="仿宋" w:eastAsia="仿宋" w:cs="仿宋"/>
        </w:rPr>
      </w:pPr>
      <w:r>
        <w:rPr>
          <w:rFonts w:hint="eastAsia" w:ascii="仿宋" w:hAnsi="仿宋" w:eastAsia="仿宋" w:cs="仿宋"/>
        </w:rPr>
        <w:t>须如实申报货物名称、价值、数量，体积、重量，不得在货物中夹带货单上没注明的物品；</w:t>
      </w:r>
    </w:p>
    <w:p w14:paraId="5F373C20">
      <w:pPr>
        <w:pStyle w:val="13"/>
        <w:numPr>
          <w:ilvl w:val="0"/>
          <w:numId w:val="16"/>
        </w:numPr>
        <w:ind w:firstLineChars="0"/>
        <w:rPr>
          <w:rFonts w:hint="eastAsia" w:ascii="仿宋" w:hAnsi="仿宋" w:eastAsia="仿宋" w:cs="仿宋"/>
        </w:rPr>
      </w:pPr>
      <w:r>
        <w:rPr>
          <w:rFonts w:hint="eastAsia" w:ascii="仿宋" w:hAnsi="仿宋" w:eastAsia="仿宋" w:cs="仿宋"/>
        </w:rPr>
        <w:t>对所交运的货物应参加保价运输，选择保价运输时，申报的货物价值不得超过货物本身的实际价值；对同一批价值不同的货物，须采取分别申报、单独开单的方式办理托运；</w:t>
      </w:r>
    </w:p>
    <w:p w14:paraId="2C15C36F">
      <w:pPr>
        <w:pStyle w:val="13"/>
        <w:numPr>
          <w:ilvl w:val="0"/>
          <w:numId w:val="16"/>
        </w:numPr>
        <w:ind w:firstLineChars="0"/>
        <w:rPr>
          <w:rFonts w:hint="eastAsia" w:ascii="仿宋" w:hAnsi="仿宋" w:eastAsia="仿宋" w:cs="仿宋"/>
        </w:rPr>
      </w:pPr>
      <w:r>
        <w:rPr>
          <w:rFonts w:hint="eastAsia" w:ascii="仿宋" w:hAnsi="仿宋" w:eastAsia="仿宋" w:cs="仿宋"/>
        </w:rPr>
        <w:t>须随货办理国家有关部门检查的证明，如运输过程中遇到相关检查,须负责解决运输的合法手续；</w:t>
      </w:r>
    </w:p>
    <w:p w14:paraId="27F89A9B">
      <w:pPr>
        <w:pStyle w:val="13"/>
        <w:numPr>
          <w:ilvl w:val="0"/>
          <w:numId w:val="16"/>
        </w:numPr>
        <w:ind w:firstLineChars="0"/>
        <w:rPr>
          <w:rFonts w:hint="eastAsia" w:ascii="仿宋" w:hAnsi="仿宋" w:eastAsia="仿宋" w:cs="仿宋"/>
        </w:rPr>
      </w:pPr>
      <w:r>
        <w:rPr>
          <w:rFonts w:hint="eastAsia" w:ascii="仿宋" w:hAnsi="仿宋" w:eastAsia="仿宋" w:cs="仿宋"/>
        </w:rPr>
        <w:t>货物达到后10天内必须办理提货/接货手续，否则，如无正当理由每天按照相应运费的1%向乙方交纳保管费；到达30天无正当理由仍然未提货/接货,乙方将货物退回甲方发货处，并承担往返运费和相应保管费；</w:t>
      </w:r>
    </w:p>
    <w:p w14:paraId="047E7306">
      <w:pPr>
        <w:pStyle w:val="13"/>
        <w:numPr>
          <w:ilvl w:val="0"/>
          <w:numId w:val="16"/>
        </w:numPr>
        <w:ind w:firstLineChars="0"/>
        <w:rPr>
          <w:rFonts w:hint="eastAsia" w:ascii="仿宋" w:hAnsi="仿宋" w:eastAsia="仿宋" w:cs="仿宋"/>
        </w:rPr>
      </w:pPr>
      <w:r>
        <w:rPr>
          <w:rFonts w:hint="eastAsia" w:ascii="仿宋" w:hAnsi="仿宋" w:eastAsia="仿宋" w:cs="仿宋"/>
        </w:rPr>
        <w:t>甲方有权在运费结算时扣除：①未经甲方批准的超约定价格收费；②代收款超过15天仍未支付；③因乙方原因造成货损货差需要理赔，自甲方发货之日起30天内仍未支付；④因乙方原因签回单未回等原因造成结算运费差异时，但所有涉及运费结算有异议或者理赔等要扣款，需甲乙双方签字确认后，在结算运费时扣除，甲方不得单方面未经乙方同意扣除乙方运费；</w:t>
      </w:r>
      <w:r>
        <w:rPr>
          <w:rFonts w:hint="eastAsia" w:ascii="仿宋" w:hAnsi="仿宋" w:eastAsia="仿宋" w:cs="仿宋"/>
        </w:rPr>
        <w:fldChar w:fldCharType="begin"/>
      </w:r>
      <w:r>
        <w:rPr>
          <w:rFonts w:hint="eastAsia" w:ascii="仿宋" w:hAnsi="仿宋" w:eastAsia="仿宋" w:cs="仿宋"/>
        </w:rPr>
        <w:instrText xml:space="preserve">=5\*GB3</w:instrText>
      </w:r>
      <w:r>
        <w:rPr>
          <w:rFonts w:hint="eastAsia" w:ascii="仿宋" w:hAnsi="仿宋" w:eastAsia="仿宋" w:cs="仿宋"/>
        </w:rPr>
        <w:fldChar w:fldCharType="separate"/>
      </w:r>
      <w:r>
        <w:rPr>
          <w:rFonts w:hint="eastAsia" w:ascii="仿宋" w:hAnsi="仿宋" w:eastAsia="仿宋" w:cs="仿宋"/>
        </w:rPr>
        <w:t>⑤</w:t>
      </w:r>
      <w:r>
        <w:rPr>
          <w:rFonts w:hint="eastAsia" w:ascii="仿宋" w:hAnsi="仿宋" w:eastAsia="仿宋" w:cs="仿宋"/>
        </w:rPr>
        <w:fldChar w:fldCharType="end"/>
      </w:r>
      <w:r>
        <w:rPr>
          <w:rFonts w:hint="eastAsia" w:ascii="仿宋" w:hAnsi="仿宋" w:eastAsia="仿宋" w:cs="仿宋"/>
        </w:rPr>
        <w:t>违约金及赔偿金。</w:t>
      </w:r>
    </w:p>
    <w:p w14:paraId="7FFA9A9F">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争议解决</w:t>
      </w:r>
    </w:p>
    <w:p w14:paraId="2AEFE853">
      <w:pPr>
        <w:pStyle w:val="13"/>
        <w:ind w:firstLine="480"/>
        <w:rPr>
          <w:rFonts w:hint="eastAsia" w:ascii="仿宋" w:hAnsi="仿宋" w:eastAsia="仿宋" w:cs="仿宋"/>
        </w:rPr>
      </w:pPr>
      <w:r>
        <w:rPr>
          <w:rFonts w:hint="eastAsia" w:ascii="仿宋" w:hAnsi="仿宋" w:eastAsia="仿宋" w:cs="仿宋"/>
        </w:rPr>
        <w:t>双方在履行本合同过程中发生的一切争议，应通过协商解决。如协商不成的，依法向甲方所在地有管辖权的人民法院起诉。</w:t>
      </w:r>
    </w:p>
    <w:p w14:paraId="542EE444">
      <w:pPr>
        <w:pStyle w:val="2"/>
        <w:numPr>
          <w:ilvl w:val="0"/>
          <w:numId w:val="7"/>
        </w:numPr>
        <w:rPr>
          <w:rFonts w:hint="eastAsia" w:ascii="仿宋" w:hAnsi="仿宋" w:eastAsia="仿宋" w:cs="仿宋"/>
          <w:sz w:val="24"/>
          <w:szCs w:val="24"/>
        </w:rPr>
      </w:pPr>
      <w:r>
        <w:rPr>
          <w:rFonts w:hint="eastAsia" w:ascii="仿宋" w:hAnsi="仿宋" w:eastAsia="仿宋" w:cs="仿宋"/>
          <w:sz w:val="24"/>
          <w:szCs w:val="24"/>
        </w:rPr>
        <w:t>合同生效及其他约定</w:t>
      </w:r>
    </w:p>
    <w:p w14:paraId="36E8D36C">
      <w:pPr>
        <w:pStyle w:val="13"/>
        <w:numPr>
          <w:ilvl w:val="0"/>
          <w:numId w:val="17"/>
        </w:numPr>
        <w:ind w:firstLineChars="0"/>
        <w:rPr>
          <w:rFonts w:hint="eastAsia" w:ascii="仿宋" w:hAnsi="仿宋" w:eastAsia="仿宋" w:cs="仿宋"/>
        </w:rPr>
      </w:pPr>
      <w:r>
        <w:rPr>
          <w:rFonts w:hint="eastAsia" w:ascii="仿宋" w:hAnsi="仿宋" w:eastAsia="仿宋" w:cs="仿宋"/>
        </w:rPr>
        <w:t>本合同自双方法定代表人或委托代理人签字并加盖公章之日起生效，有效期一年。</w:t>
      </w:r>
    </w:p>
    <w:p w14:paraId="53AD7C9B">
      <w:pPr>
        <w:pStyle w:val="13"/>
        <w:numPr>
          <w:ilvl w:val="0"/>
          <w:numId w:val="17"/>
        </w:numPr>
        <w:ind w:firstLineChars="0"/>
        <w:rPr>
          <w:rFonts w:hint="eastAsia" w:ascii="仿宋" w:hAnsi="仿宋" w:eastAsia="仿宋" w:cs="仿宋"/>
        </w:rPr>
      </w:pPr>
      <w:r>
        <w:rPr>
          <w:rFonts w:hint="eastAsia" w:ascii="仿宋" w:hAnsi="仿宋" w:eastAsia="仿宋" w:cs="仿宋"/>
        </w:rPr>
        <w:t>本合同一式贰份，甲乙双方各执壹份，具有同等法律效力。</w:t>
      </w:r>
    </w:p>
    <w:p w14:paraId="5661737A">
      <w:pPr>
        <w:pStyle w:val="13"/>
        <w:numPr>
          <w:ilvl w:val="0"/>
          <w:numId w:val="17"/>
        </w:numPr>
        <w:ind w:firstLineChars="0"/>
        <w:rPr>
          <w:rFonts w:hint="eastAsia" w:ascii="仿宋" w:hAnsi="仿宋" w:eastAsia="仿宋" w:cs="仿宋"/>
        </w:rPr>
      </w:pPr>
      <w:r>
        <w:rPr>
          <w:rFonts w:hint="eastAsia" w:ascii="仿宋" w:hAnsi="仿宋" w:eastAsia="仿宋" w:cs="仿宋"/>
        </w:rPr>
        <w:t>本项目甲方询价文件、乙方响应文件（详见附件）均为本合同附件，是本合同不可分割的一部分，与本合同不一致的，以本合同为准。</w:t>
      </w:r>
    </w:p>
    <w:p w14:paraId="1A536E08">
      <w:pPr>
        <w:pStyle w:val="13"/>
        <w:numPr>
          <w:ilvl w:val="0"/>
          <w:numId w:val="17"/>
        </w:numPr>
        <w:ind w:firstLineChars="0"/>
        <w:rPr>
          <w:rFonts w:hint="eastAsia" w:ascii="仿宋" w:hAnsi="仿宋" w:eastAsia="仿宋" w:cs="仿宋"/>
        </w:rPr>
      </w:pPr>
      <w:r>
        <w:rPr>
          <w:rFonts w:hint="eastAsia" w:ascii="仿宋" w:hAnsi="仿宋" w:eastAsia="仿宋" w:cs="仿宋"/>
        </w:rPr>
        <w:t>合同履行中，如需修改或补充合同内容，由双方协商另行签署补充协议作为本合同不可分割的一部分。</w:t>
      </w:r>
    </w:p>
    <w:tbl>
      <w:tblPr>
        <w:tblStyle w:val="22"/>
        <w:tblpPr w:leftFromText="180" w:rightFromText="180" w:vertAnchor="text" w:horzAnchor="page" w:tblpX="960" w:tblpY="716"/>
        <w:tblOverlap w:val="never"/>
        <w:tblW w:w="9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6"/>
        <w:gridCol w:w="4732"/>
      </w:tblGrid>
      <w:tr w14:paraId="3CE8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trPr>
        <w:tc>
          <w:tcPr>
            <w:tcW w:w="4616" w:type="dxa"/>
          </w:tcPr>
          <w:p w14:paraId="7815A630">
            <w:pPr>
              <w:snapToGrid w:val="0"/>
              <w:spacing w:line="240" w:lineRule="atLeas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sz w:val="24"/>
                <w:szCs w:val="24"/>
              </w:rPr>
              <w:t>甲方：</w:t>
            </w:r>
            <w:r>
              <w:rPr>
                <w:rFonts w:hint="eastAsia" w:ascii="仿宋" w:hAnsi="仿宋" w:eastAsia="仿宋" w:cs="仿宋"/>
                <w:color w:val="000000" w:themeColor="text1"/>
                <w:sz w:val="24"/>
                <w:szCs w:val="24"/>
                <w14:textFill>
                  <w14:solidFill>
                    <w14:schemeClr w14:val="tx1"/>
                  </w14:solidFill>
                </w14:textFill>
              </w:rPr>
              <w:t>湖北鄂安标牌厂</w:t>
            </w:r>
          </w:p>
          <w:p w14:paraId="1F33685B">
            <w:pPr>
              <w:snapToGrid w:val="0"/>
              <w:spacing w:line="240" w:lineRule="atLeast"/>
              <w:rPr>
                <w:rFonts w:hint="eastAsia" w:ascii="仿宋" w:hAnsi="仿宋" w:eastAsia="仿宋" w:cs="仿宋"/>
                <w:sz w:val="24"/>
                <w:szCs w:val="24"/>
              </w:rPr>
            </w:pPr>
            <w:bookmarkStart w:id="47" w:name="OLE_LINK2"/>
            <w:r>
              <w:rPr>
                <w:rFonts w:hint="eastAsia" w:ascii="仿宋" w:hAnsi="仿宋" w:eastAsia="仿宋" w:cs="仿宋"/>
                <w:sz w:val="24"/>
                <w:szCs w:val="24"/>
              </w:rPr>
              <w:t>法定代表人或委托代理人：</w:t>
            </w:r>
          </w:p>
          <w:bookmarkEnd w:id="47"/>
          <w:p w14:paraId="04DC009B">
            <w:pPr>
              <w:snapToGrid w:val="0"/>
              <w:spacing w:line="240" w:lineRule="atLeast"/>
              <w:rPr>
                <w:rFonts w:hint="eastAsia" w:ascii="仿宋" w:hAnsi="仿宋" w:eastAsia="仿宋" w:cs="仿宋"/>
                <w:sz w:val="24"/>
                <w:szCs w:val="24"/>
              </w:rPr>
            </w:pPr>
            <w:r>
              <w:rPr>
                <w:rFonts w:hint="eastAsia" w:ascii="仿宋" w:hAnsi="仿宋" w:eastAsia="仿宋" w:cs="仿宋"/>
                <w:sz w:val="24"/>
                <w:szCs w:val="24"/>
              </w:rPr>
              <w:t>开户银行：招商银行武汉街道口支行</w:t>
            </w:r>
          </w:p>
          <w:p w14:paraId="4B50B64D">
            <w:pPr>
              <w:snapToGrid w:val="0"/>
              <w:spacing w:line="240" w:lineRule="atLeast"/>
              <w:rPr>
                <w:rFonts w:hint="eastAsia" w:ascii="仿宋" w:hAnsi="仿宋" w:eastAsia="仿宋" w:cs="仿宋"/>
                <w:b/>
                <w:sz w:val="24"/>
                <w:szCs w:val="24"/>
              </w:rPr>
            </w:pPr>
            <w:r>
              <w:rPr>
                <w:rFonts w:hint="eastAsia" w:ascii="仿宋" w:hAnsi="仿宋" w:eastAsia="仿宋" w:cs="仿宋"/>
                <w:sz w:val="24"/>
                <w:szCs w:val="24"/>
              </w:rPr>
              <w:t>账号：127913784110101</w:t>
            </w:r>
          </w:p>
          <w:p w14:paraId="6C48A2A4">
            <w:pPr>
              <w:snapToGrid w:val="0"/>
              <w:spacing w:line="240" w:lineRule="atLeast"/>
              <w:rPr>
                <w:rFonts w:hint="eastAsia" w:ascii="仿宋" w:hAnsi="仿宋" w:eastAsia="仿宋" w:cs="仿宋"/>
                <w:sz w:val="24"/>
                <w:szCs w:val="24"/>
              </w:rPr>
            </w:pPr>
            <w:r>
              <w:rPr>
                <w:rFonts w:hint="eastAsia" w:ascii="仿宋" w:hAnsi="仿宋" w:eastAsia="仿宋" w:cs="仿宋"/>
                <w:sz w:val="24"/>
                <w:szCs w:val="24"/>
              </w:rPr>
              <w:t>地址：武汉市武昌区雄楚大街97号（原晒湖路）</w:t>
            </w:r>
          </w:p>
          <w:p w14:paraId="2DDCB5BA">
            <w:pPr>
              <w:snapToGrid w:val="0"/>
              <w:spacing w:line="240" w:lineRule="atLeast"/>
              <w:rPr>
                <w:rFonts w:hint="eastAsia" w:ascii="仿宋" w:hAnsi="仿宋" w:eastAsia="仿宋" w:cs="仿宋"/>
                <w:sz w:val="24"/>
                <w:szCs w:val="24"/>
                <w:lang w:eastAsia="zh-CN"/>
              </w:rPr>
            </w:pPr>
            <w:r>
              <w:rPr>
                <w:rFonts w:hint="eastAsia" w:ascii="仿宋" w:hAnsi="仿宋" w:eastAsia="仿宋" w:cs="仿宋"/>
                <w:sz w:val="24"/>
                <w:szCs w:val="24"/>
              </w:rPr>
              <w:t>电话：</w:t>
            </w:r>
            <w:r>
              <w:rPr>
                <w:rFonts w:hint="eastAsia" w:ascii="仿宋" w:hAnsi="仿宋" w:eastAsia="仿宋" w:cs="仿宋"/>
                <w:sz w:val="24"/>
                <w:szCs w:val="24"/>
                <w:lang w:eastAsia="zh-CN"/>
              </w:rPr>
              <w:t>、</w:t>
            </w:r>
          </w:p>
        </w:tc>
        <w:tc>
          <w:tcPr>
            <w:tcW w:w="4732" w:type="dxa"/>
          </w:tcPr>
          <w:p w14:paraId="49772A21">
            <w:pPr>
              <w:adjustRightInd w:val="0"/>
              <w:snapToGrid w:val="0"/>
              <w:spacing w:line="240" w:lineRule="atLeast"/>
              <w:rPr>
                <w:rFonts w:hint="eastAsia" w:ascii="仿宋" w:hAnsi="仿宋" w:eastAsia="仿宋" w:cs="仿宋"/>
                <w:sz w:val="24"/>
                <w:szCs w:val="24"/>
              </w:rPr>
            </w:pPr>
            <w:bookmarkStart w:id="48" w:name="OLE_LINK6"/>
            <w:r>
              <w:rPr>
                <w:rFonts w:hint="eastAsia" w:ascii="仿宋" w:hAnsi="仿宋" w:eastAsia="仿宋" w:cs="仿宋"/>
                <w:sz w:val="24"/>
                <w:szCs w:val="24"/>
              </w:rPr>
              <w:t>乙方：</w:t>
            </w:r>
          </w:p>
          <w:p w14:paraId="02FA2960">
            <w:pPr>
              <w:snapToGrid w:val="0"/>
              <w:spacing w:line="240" w:lineRule="atLeast"/>
              <w:rPr>
                <w:rFonts w:hint="eastAsia" w:ascii="仿宋" w:hAnsi="仿宋" w:eastAsia="仿宋" w:cs="仿宋"/>
                <w:sz w:val="24"/>
                <w:szCs w:val="24"/>
              </w:rPr>
            </w:pPr>
            <w:r>
              <w:rPr>
                <w:rFonts w:hint="eastAsia" w:ascii="仿宋" w:hAnsi="仿宋" w:eastAsia="仿宋" w:cs="仿宋"/>
                <w:sz w:val="24"/>
                <w:szCs w:val="24"/>
              </w:rPr>
              <w:t>法定代表人或委托代理人：</w:t>
            </w:r>
          </w:p>
          <w:p w14:paraId="515FCAC9">
            <w:pPr>
              <w:widowControl/>
              <w:snapToGrid w:val="0"/>
              <w:spacing w:line="240" w:lineRule="atLeast"/>
              <w:jc w:val="left"/>
              <w:rPr>
                <w:rFonts w:hint="eastAsia" w:ascii="仿宋" w:hAnsi="仿宋" w:eastAsia="仿宋" w:cs="仿宋"/>
                <w:sz w:val="24"/>
                <w:szCs w:val="24"/>
              </w:rPr>
            </w:pPr>
            <w:r>
              <w:rPr>
                <w:rFonts w:hint="eastAsia" w:ascii="仿宋" w:hAnsi="仿宋" w:eastAsia="仿宋" w:cs="仿宋"/>
                <w:sz w:val="24"/>
                <w:szCs w:val="24"/>
              </w:rPr>
              <w:t>开户银行：</w:t>
            </w:r>
          </w:p>
          <w:p w14:paraId="3104F5DA">
            <w:pPr>
              <w:widowControl/>
              <w:snapToGrid w:val="0"/>
              <w:spacing w:line="240" w:lineRule="atLeast"/>
              <w:jc w:val="left"/>
              <w:rPr>
                <w:rFonts w:hint="eastAsia" w:ascii="仿宋" w:hAnsi="仿宋" w:eastAsia="仿宋" w:cs="仿宋"/>
                <w:sz w:val="24"/>
                <w:szCs w:val="24"/>
              </w:rPr>
            </w:pPr>
            <w:r>
              <w:rPr>
                <w:rFonts w:hint="eastAsia" w:ascii="仿宋" w:hAnsi="仿宋" w:eastAsia="仿宋" w:cs="仿宋"/>
                <w:sz w:val="24"/>
                <w:szCs w:val="24"/>
              </w:rPr>
              <w:t>账号：</w:t>
            </w:r>
          </w:p>
          <w:p w14:paraId="75528A11">
            <w:pPr>
              <w:snapToGrid w:val="0"/>
              <w:spacing w:line="240" w:lineRule="atLeast"/>
              <w:rPr>
                <w:rFonts w:hint="eastAsia" w:ascii="仿宋" w:hAnsi="仿宋" w:eastAsia="仿宋" w:cs="仿宋"/>
                <w:sz w:val="24"/>
                <w:szCs w:val="24"/>
              </w:rPr>
            </w:pPr>
            <w:r>
              <w:rPr>
                <w:rFonts w:hint="eastAsia" w:ascii="仿宋" w:hAnsi="仿宋" w:eastAsia="仿宋" w:cs="仿宋"/>
                <w:sz w:val="24"/>
                <w:szCs w:val="24"/>
              </w:rPr>
              <w:t>地址：</w:t>
            </w:r>
          </w:p>
          <w:p w14:paraId="0846900D">
            <w:pPr>
              <w:snapToGrid w:val="0"/>
              <w:spacing w:line="240" w:lineRule="atLeast"/>
              <w:rPr>
                <w:rFonts w:hint="eastAsia" w:ascii="仿宋" w:hAnsi="仿宋" w:eastAsia="仿宋" w:cs="仿宋"/>
                <w:sz w:val="24"/>
                <w:szCs w:val="24"/>
              </w:rPr>
            </w:pPr>
            <w:r>
              <w:rPr>
                <w:rFonts w:hint="eastAsia" w:ascii="仿宋" w:hAnsi="仿宋" w:eastAsia="仿宋" w:cs="仿宋"/>
                <w:sz w:val="24"/>
                <w:szCs w:val="24"/>
              </w:rPr>
              <w:t>电话：</w:t>
            </w:r>
            <w:bookmarkEnd w:id="48"/>
          </w:p>
        </w:tc>
      </w:tr>
      <w:tr w14:paraId="7991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616" w:type="dxa"/>
          </w:tcPr>
          <w:p w14:paraId="17B65EAF">
            <w:pPr>
              <w:snapToGrid w:val="0"/>
              <w:spacing w:line="24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日期：</w:t>
            </w:r>
          </w:p>
        </w:tc>
        <w:tc>
          <w:tcPr>
            <w:tcW w:w="4732" w:type="dxa"/>
          </w:tcPr>
          <w:p w14:paraId="08AB335E">
            <w:pPr>
              <w:snapToGrid w:val="0"/>
              <w:spacing w:line="24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日期：</w:t>
            </w:r>
          </w:p>
        </w:tc>
      </w:tr>
    </w:tbl>
    <w:p w14:paraId="2DC3E4C2">
      <w:pPr>
        <w:snapToGrid w:val="0"/>
        <w:spacing w:line="240" w:lineRule="atLeast"/>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以下无正文</w:t>
      </w:r>
      <w:r>
        <w:rPr>
          <w:rFonts w:hint="eastAsia" w:ascii="仿宋" w:hAnsi="仿宋" w:eastAsia="仿宋" w:cs="仿宋"/>
          <w:sz w:val="24"/>
          <w:szCs w:val="24"/>
          <w:lang w:eastAsia="zh-CN"/>
        </w:rPr>
        <w:t>）</w:t>
      </w:r>
    </w:p>
    <w:sectPr>
      <w:headerReference r:id="rId5" w:type="default"/>
      <w:footerReference r:id="rId6" w:type="default"/>
      <w:pgSz w:w="11906" w:h="16838"/>
      <w:pgMar w:top="1440" w:right="1083" w:bottom="1440" w:left="1083" w:header="720" w:footer="720"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jiangqin liu" w:date="2026-07-15T23:04:00Z" w:initials="">
    <w:p w14:paraId="675B003C">
      <w:pPr>
        <w:pStyle w:val="12"/>
      </w:pPr>
      <w:r>
        <w:rPr>
          <w:rFonts w:hint="eastAsia"/>
          <w:color w:val="0F1115"/>
          <w:highlight w:val="white"/>
        </w:rPr>
        <w:t>注：综合折扣率按百分比数值参与计算。例如：基准折扣率为85%，某供应商报价为90%，则其报价得分 = 85/90 × 40 = 37.78分。）</w:t>
      </w:r>
    </w:p>
  </w:comment>
  <w:comment w:id="1" w:author="MadFrog" w:date="2025-08-06T18:10:00Z" w:initials="">
    <w:p w14:paraId="6AAE2C4F">
      <w:pPr>
        <w:pStyle w:val="12"/>
      </w:pPr>
      <w:r>
        <w:rPr>
          <w:rFonts w:hint="eastAsia"/>
        </w:rPr>
        <w:t>请职能部门专业人员审核</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75B003C" w15:done="0"/>
  <w15:commentEx w15:paraId="6AAE2C4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94567A-ED58-4032-84F0-5369A670FD7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A54C2783-797C-4D49-AC9E-2202594D170C}"/>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3" w:fontKey="{DB0182A4-9CDA-4430-A16E-B416C84DC78A}"/>
  </w:font>
  <w:font w:name="方正小标宋_GBK">
    <w:panose1 w:val="02000000000000000000"/>
    <w:charset w:val="86"/>
    <w:family w:val="auto"/>
    <w:pitch w:val="default"/>
    <w:sig w:usb0="A00002BF" w:usb1="38CF7CFA" w:usb2="00082016" w:usb3="00000000" w:csb0="00040001" w:csb1="00000000"/>
    <w:embedRegular r:id="rId4" w:fontKey="{E2C3FE40-B5A7-48CA-B331-BF5447BD424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CE615">
    <w:pPr>
      <w:pStyle w:val="16"/>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BFA5BC">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7BFA5BC">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B01F7">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71567"/>
    <w:multiLevelType w:val="singleLevel"/>
    <w:tmpl w:val="83071567"/>
    <w:lvl w:ilvl="0" w:tentative="0">
      <w:start w:val="1"/>
      <w:numFmt w:val="chineseCounting"/>
      <w:suff w:val="space"/>
      <w:lvlText w:val="第%1章"/>
      <w:lvlJc w:val="left"/>
      <w:pPr>
        <w:ind w:left="0" w:firstLine="0"/>
      </w:pPr>
      <w:rPr>
        <w:rFonts w:hint="eastAsia"/>
      </w:rPr>
    </w:lvl>
  </w:abstractNum>
  <w:abstractNum w:abstractNumId="1">
    <w:nsid w:val="955FF1C9"/>
    <w:multiLevelType w:val="singleLevel"/>
    <w:tmpl w:val="955FF1C9"/>
    <w:lvl w:ilvl="0" w:tentative="0">
      <w:start w:val="1"/>
      <w:numFmt w:val="decimal"/>
      <w:suff w:val="space"/>
      <w:lvlText w:val="%1."/>
      <w:lvlJc w:val="left"/>
      <w:pPr>
        <w:ind w:left="0" w:firstLine="480"/>
      </w:pPr>
      <w:rPr>
        <w:rFonts w:hint="default"/>
      </w:rPr>
    </w:lvl>
  </w:abstractNum>
  <w:abstractNum w:abstractNumId="2">
    <w:nsid w:val="9B684FA4"/>
    <w:multiLevelType w:val="singleLevel"/>
    <w:tmpl w:val="9B684FA4"/>
    <w:lvl w:ilvl="0" w:tentative="0">
      <w:start w:val="1"/>
      <w:numFmt w:val="decimal"/>
      <w:suff w:val="space"/>
      <w:lvlText w:val="%1."/>
      <w:lvlJc w:val="left"/>
      <w:pPr>
        <w:ind w:left="0" w:firstLine="480"/>
      </w:pPr>
      <w:rPr>
        <w:rFonts w:hint="default"/>
      </w:rPr>
    </w:lvl>
  </w:abstractNum>
  <w:abstractNum w:abstractNumId="3">
    <w:nsid w:val="BCD66062"/>
    <w:multiLevelType w:val="singleLevel"/>
    <w:tmpl w:val="BCD66062"/>
    <w:lvl w:ilvl="0" w:tentative="0">
      <w:start w:val="1"/>
      <w:numFmt w:val="chineseCounting"/>
      <w:suff w:val="nothing"/>
      <w:lvlText w:val="%1、"/>
      <w:lvlJc w:val="left"/>
      <w:pPr>
        <w:ind w:left="0" w:firstLine="0"/>
      </w:pPr>
      <w:rPr>
        <w:rFonts w:hint="eastAsia"/>
      </w:rPr>
    </w:lvl>
  </w:abstractNum>
  <w:abstractNum w:abstractNumId="4">
    <w:nsid w:val="BE17574B"/>
    <w:multiLevelType w:val="singleLevel"/>
    <w:tmpl w:val="BE17574B"/>
    <w:lvl w:ilvl="0" w:tentative="0">
      <w:start w:val="1"/>
      <w:numFmt w:val="decimal"/>
      <w:suff w:val="nothing"/>
      <w:lvlText w:val="%1、"/>
      <w:lvlJc w:val="left"/>
      <w:pPr>
        <w:ind w:left="0" w:firstLine="480"/>
      </w:pPr>
      <w:rPr>
        <w:rFonts w:hint="default"/>
      </w:rPr>
    </w:lvl>
  </w:abstractNum>
  <w:abstractNum w:abstractNumId="5">
    <w:nsid w:val="BFB0F6FD"/>
    <w:multiLevelType w:val="singleLevel"/>
    <w:tmpl w:val="BFB0F6FD"/>
    <w:lvl w:ilvl="0" w:tentative="0">
      <w:start w:val="1"/>
      <w:numFmt w:val="decimal"/>
      <w:suff w:val="space"/>
      <w:lvlText w:val="%1."/>
      <w:lvlJc w:val="left"/>
      <w:pPr>
        <w:ind w:left="0" w:firstLine="480"/>
      </w:pPr>
      <w:rPr>
        <w:rFonts w:hint="default"/>
      </w:rPr>
    </w:lvl>
  </w:abstractNum>
  <w:abstractNum w:abstractNumId="6">
    <w:nsid w:val="C2CF7DBA"/>
    <w:multiLevelType w:val="singleLevel"/>
    <w:tmpl w:val="C2CF7DBA"/>
    <w:lvl w:ilvl="0" w:tentative="0">
      <w:start w:val="1"/>
      <w:numFmt w:val="decimal"/>
      <w:suff w:val="space"/>
      <w:lvlText w:val="%1."/>
      <w:lvlJc w:val="left"/>
      <w:pPr>
        <w:ind w:left="0" w:firstLine="480"/>
      </w:pPr>
      <w:rPr>
        <w:rFonts w:hint="default"/>
      </w:rPr>
    </w:lvl>
  </w:abstractNum>
  <w:abstractNum w:abstractNumId="7">
    <w:nsid w:val="D21DBB52"/>
    <w:multiLevelType w:val="singleLevel"/>
    <w:tmpl w:val="D21DBB52"/>
    <w:lvl w:ilvl="0" w:tentative="0">
      <w:start w:val="1"/>
      <w:numFmt w:val="chineseCounting"/>
      <w:suff w:val="nothing"/>
      <w:lvlText w:val="%1、"/>
      <w:lvlJc w:val="left"/>
      <w:pPr>
        <w:ind w:left="0" w:firstLine="480"/>
      </w:pPr>
      <w:rPr>
        <w:rFonts w:hint="eastAsia"/>
      </w:rPr>
    </w:lvl>
  </w:abstractNum>
  <w:abstractNum w:abstractNumId="8">
    <w:nsid w:val="F521024A"/>
    <w:multiLevelType w:val="singleLevel"/>
    <w:tmpl w:val="F521024A"/>
    <w:lvl w:ilvl="0" w:tentative="0">
      <w:start w:val="1"/>
      <w:numFmt w:val="chineseCounting"/>
      <w:suff w:val="nothing"/>
      <w:lvlText w:val="%1、"/>
      <w:lvlJc w:val="left"/>
      <w:pPr>
        <w:ind w:left="0" w:firstLine="0"/>
      </w:pPr>
      <w:rPr>
        <w:rFonts w:hint="eastAsia"/>
      </w:rPr>
    </w:lvl>
  </w:abstractNum>
  <w:abstractNum w:abstractNumId="9">
    <w:nsid w:val="04F317C8"/>
    <w:multiLevelType w:val="singleLevel"/>
    <w:tmpl w:val="04F317C8"/>
    <w:lvl w:ilvl="0" w:tentative="0">
      <w:start w:val="1"/>
      <w:numFmt w:val="chineseCounting"/>
      <w:suff w:val="nothing"/>
      <w:lvlText w:val="（%1）"/>
      <w:lvlJc w:val="left"/>
      <w:pPr>
        <w:ind w:left="0" w:firstLine="0"/>
      </w:pPr>
      <w:rPr>
        <w:rFonts w:hint="eastAsia"/>
      </w:rPr>
    </w:lvl>
  </w:abstractNum>
  <w:abstractNum w:abstractNumId="10">
    <w:nsid w:val="2101BDE2"/>
    <w:multiLevelType w:val="singleLevel"/>
    <w:tmpl w:val="2101BDE2"/>
    <w:lvl w:ilvl="0" w:tentative="0">
      <w:start w:val="1"/>
      <w:numFmt w:val="decimal"/>
      <w:suff w:val="space"/>
      <w:lvlText w:val="%1."/>
      <w:lvlJc w:val="left"/>
      <w:pPr>
        <w:ind w:left="0" w:firstLine="480"/>
      </w:pPr>
      <w:rPr>
        <w:rFonts w:hint="default"/>
      </w:rPr>
    </w:lvl>
  </w:abstractNum>
  <w:abstractNum w:abstractNumId="11">
    <w:nsid w:val="4790BE7D"/>
    <w:multiLevelType w:val="singleLevel"/>
    <w:tmpl w:val="4790BE7D"/>
    <w:lvl w:ilvl="0" w:tentative="0">
      <w:start w:val="1"/>
      <w:numFmt w:val="chineseCounting"/>
      <w:suff w:val="nothing"/>
      <w:lvlText w:val="（%1）"/>
      <w:lvlJc w:val="left"/>
      <w:pPr>
        <w:ind w:left="0" w:firstLine="480"/>
      </w:pPr>
      <w:rPr>
        <w:rFonts w:hint="eastAsia"/>
      </w:rPr>
    </w:lvl>
  </w:abstractNum>
  <w:abstractNum w:abstractNumId="12">
    <w:nsid w:val="4EC38311"/>
    <w:multiLevelType w:val="singleLevel"/>
    <w:tmpl w:val="4EC38311"/>
    <w:lvl w:ilvl="0" w:tentative="0">
      <w:start w:val="1"/>
      <w:numFmt w:val="decimal"/>
      <w:suff w:val="space"/>
      <w:lvlText w:val="%1."/>
      <w:lvlJc w:val="left"/>
      <w:pPr>
        <w:ind w:left="0" w:firstLine="480"/>
      </w:pPr>
      <w:rPr>
        <w:rFonts w:hint="default"/>
      </w:rPr>
    </w:lvl>
  </w:abstractNum>
  <w:abstractNum w:abstractNumId="13">
    <w:nsid w:val="57F747B3"/>
    <w:multiLevelType w:val="singleLevel"/>
    <w:tmpl w:val="57F747B3"/>
    <w:lvl w:ilvl="0" w:tentative="0">
      <w:start w:val="1"/>
      <w:numFmt w:val="decimal"/>
      <w:suff w:val="space"/>
      <w:lvlText w:val="%1."/>
      <w:lvlJc w:val="left"/>
      <w:pPr>
        <w:ind w:left="0" w:firstLine="480"/>
      </w:pPr>
      <w:rPr>
        <w:rFonts w:hint="default"/>
      </w:rPr>
    </w:lvl>
  </w:abstractNum>
  <w:abstractNum w:abstractNumId="14">
    <w:nsid w:val="676FBD7E"/>
    <w:multiLevelType w:val="singleLevel"/>
    <w:tmpl w:val="676FBD7E"/>
    <w:lvl w:ilvl="0" w:tentative="0">
      <w:start w:val="1"/>
      <w:numFmt w:val="decimal"/>
      <w:suff w:val="space"/>
      <w:lvlText w:val="%1."/>
      <w:lvlJc w:val="left"/>
      <w:pPr>
        <w:ind w:left="0" w:firstLine="480"/>
      </w:pPr>
      <w:rPr>
        <w:rFonts w:hint="default"/>
      </w:rPr>
    </w:lvl>
  </w:abstractNum>
  <w:abstractNum w:abstractNumId="15">
    <w:nsid w:val="748B1F0A"/>
    <w:multiLevelType w:val="singleLevel"/>
    <w:tmpl w:val="748B1F0A"/>
    <w:lvl w:ilvl="0" w:tentative="0">
      <w:start w:val="1"/>
      <w:numFmt w:val="chineseCounting"/>
      <w:suff w:val="nothing"/>
      <w:lvlText w:val="（%1）"/>
      <w:lvlJc w:val="left"/>
      <w:pPr>
        <w:ind w:left="0" w:firstLine="480"/>
      </w:pPr>
      <w:rPr>
        <w:rFonts w:hint="eastAsia"/>
      </w:rPr>
    </w:lvl>
  </w:abstractNum>
  <w:abstractNum w:abstractNumId="16">
    <w:nsid w:val="77A99CE8"/>
    <w:multiLevelType w:val="singleLevel"/>
    <w:tmpl w:val="77A99CE8"/>
    <w:lvl w:ilvl="0" w:tentative="0">
      <w:start w:val="1"/>
      <w:numFmt w:val="decimal"/>
      <w:suff w:val="space"/>
      <w:lvlText w:val="%1."/>
      <w:lvlJc w:val="left"/>
      <w:pPr>
        <w:ind w:left="0" w:firstLine="480"/>
      </w:pPr>
      <w:rPr>
        <w:rFonts w:hint="default"/>
      </w:rPr>
    </w:lvl>
  </w:abstractNum>
  <w:num w:numId="1">
    <w:abstractNumId w:val="0"/>
  </w:num>
  <w:num w:numId="2">
    <w:abstractNumId w:val="3"/>
  </w:num>
  <w:num w:numId="3">
    <w:abstractNumId w:val="15"/>
  </w:num>
  <w:num w:numId="4">
    <w:abstractNumId w:val="11"/>
  </w:num>
  <w:num w:numId="5">
    <w:abstractNumId w:val="7"/>
  </w:num>
  <w:num w:numId="6">
    <w:abstractNumId w:val="4"/>
  </w:num>
  <w:num w:numId="7">
    <w:abstractNumId w:val="8"/>
  </w:num>
  <w:num w:numId="8">
    <w:abstractNumId w:val="13"/>
  </w:num>
  <w:num w:numId="9">
    <w:abstractNumId w:val="14"/>
  </w:num>
  <w:num w:numId="10">
    <w:abstractNumId w:val="16"/>
  </w:num>
  <w:num w:numId="11">
    <w:abstractNumId w:val="6"/>
  </w:num>
  <w:num w:numId="12">
    <w:abstractNumId w:val="2"/>
  </w:num>
  <w:num w:numId="13">
    <w:abstractNumId w:val="1"/>
  </w:num>
  <w:num w:numId="14">
    <w:abstractNumId w:val="9"/>
  </w:num>
  <w:num w:numId="15">
    <w:abstractNumId w:val="5"/>
  </w:num>
  <w:num w:numId="16">
    <w:abstractNumId w:val="12"/>
  </w:num>
  <w:num w:numId="17">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adFrog">
    <w15:presenceInfo w15:providerId="None" w15:userId="MadFrog"/>
  </w15:person>
  <w15:person w15:author="jiangqin liu">
    <w15:presenceInfo w15:providerId="Windows Live" w15:userId="9200a5a2408fca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68"/>
  <w:embedTrueTypeFonts/>
  <w:saveSubsetFonts/>
  <w:bordersDoNotSurroundHeader w:val="0"/>
  <w:bordersDoNotSurroundFooter w:val="0"/>
  <w:revisionView w:markup="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ZjZjhkMjRjODQ1ZWM3MjA2ODJjOWViODIxMTE2NjYifQ=="/>
  </w:docVars>
  <w:rsids>
    <w:rsidRoot w:val="00172A27"/>
    <w:rsid w:val="0001701D"/>
    <w:rsid w:val="0009022C"/>
    <w:rsid w:val="000D6542"/>
    <w:rsid w:val="00102A4C"/>
    <w:rsid w:val="00172A27"/>
    <w:rsid w:val="001C76C9"/>
    <w:rsid w:val="002033CD"/>
    <w:rsid w:val="002632C1"/>
    <w:rsid w:val="00276F4F"/>
    <w:rsid w:val="00292835"/>
    <w:rsid w:val="002B04F3"/>
    <w:rsid w:val="002C3AB4"/>
    <w:rsid w:val="00372348"/>
    <w:rsid w:val="00377840"/>
    <w:rsid w:val="003D5B6E"/>
    <w:rsid w:val="0044564D"/>
    <w:rsid w:val="00461BB6"/>
    <w:rsid w:val="00491A3E"/>
    <w:rsid w:val="00500654"/>
    <w:rsid w:val="00536B42"/>
    <w:rsid w:val="00581D1C"/>
    <w:rsid w:val="005A6288"/>
    <w:rsid w:val="005B6BBB"/>
    <w:rsid w:val="006709E1"/>
    <w:rsid w:val="0068332D"/>
    <w:rsid w:val="00686104"/>
    <w:rsid w:val="006B7693"/>
    <w:rsid w:val="0073140E"/>
    <w:rsid w:val="007530EB"/>
    <w:rsid w:val="007A0029"/>
    <w:rsid w:val="008C3E83"/>
    <w:rsid w:val="008D0EA6"/>
    <w:rsid w:val="00934030"/>
    <w:rsid w:val="0093423A"/>
    <w:rsid w:val="00936F0F"/>
    <w:rsid w:val="00954B0C"/>
    <w:rsid w:val="00965ED3"/>
    <w:rsid w:val="00992B1E"/>
    <w:rsid w:val="009B35DA"/>
    <w:rsid w:val="00A22931"/>
    <w:rsid w:val="00A96741"/>
    <w:rsid w:val="00B06541"/>
    <w:rsid w:val="00B14AC4"/>
    <w:rsid w:val="00BC1DD4"/>
    <w:rsid w:val="00BC2B8B"/>
    <w:rsid w:val="00C25435"/>
    <w:rsid w:val="00CD5B3A"/>
    <w:rsid w:val="00D07099"/>
    <w:rsid w:val="00D34B2A"/>
    <w:rsid w:val="00DF208B"/>
    <w:rsid w:val="00E93B58"/>
    <w:rsid w:val="00F57EA4"/>
    <w:rsid w:val="00F6297C"/>
    <w:rsid w:val="00F717E7"/>
    <w:rsid w:val="00F85AEC"/>
    <w:rsid w:val="00FE30D7"/>
    <w:rsid w:val="0106479F"/>
    <w:rsid w:val="01D456C1"/>
    <w:rsid w:val="020967F0"/>
    <w:rsid w:val="022261E7"/>
    <w:rsid w:val="02313F99"/>
    <w:rsid w:val="026003DA"/>
    <w:rsid w:val="026E6F9B"/>
    <w:rsid w:val="0270061D"/>
    <w:rsid w:val="02722D86"/>
    <w:rsid w:val="02DC2156"/>
    <w:rsid w:val="03015719"/>
    <w:rsid w:val="034E4945"/>
    <w:rsid w:val="035F2C37"/>
    <w:rsid w:val="03771484"/>
    <w:rsid w:val="039F1E86"/>
    <w:rsid w:val="03BB2728"/>
    <w:rsid w:val="04581CB1"/>
    <w:rsid w:val="04830723"/>
    <w:rsid w:val="04E716C3"/>
    <w:rsid w:val="04E96330"/>
    <w:rsid w:val="05863DBA"/>
    <w:rsid w:val="05A625A8"/>
    <w:rsid w:val="062959A9"/>
    <w:rsid w:val="06B238FA"/>
    <w:rsid w:val="06F16F9A"/>
    <w:rsid w:val="073A6CA6"/>
    <w:rsid w:val="082241AA"/>
    <w:rsid w:val="08386081"/>
    <w:rsid w:val="088017D6"/>
    <w:rsid w:val="08C90A87"/>
    <w:rsid w:val="09126656"/>
    <w:rsid w:val="093305F6"/>
    <w:rsid w:val="096C097D"/>
    <w:rsid w:val="098B171A"/>
    <w:rsid w:val="099E1F14"/>
    <w:rsid w:val="09A22723"/>
    <w:rsid w:val="0A1421D6"/>
    <w:rsid w:val="0A2A37A7"/>
    <w:rsid w:val="0A2A6A39"/>
    <w:rsid w:val="0A56459C"/>
    <w:rsid w:val="0A5A646B"/>
    <w:rsid w:val="0A724DA4"/>
    <w:rsid w:val="0ABA32A4"/>
    <w:rsid w:val="0AD876A7"/>
    <w:rsid w:val="0B3456F4"/>
    <w:rsid w:val="0B48482D"/>
    <w:rsid w:val="0BC12694"/>
    <w:rsid w:val="0BE1277B"/>
    <w:rsid w:val="0BE65DF4"/>
    <w:rsid w:val="0C1351D2"/>
    <w:rsid w:val="0C28640C"/>
    <w:rsid w:val="0C5B40EC"/>
    <w:rsid w:val="0CD45C4C"/>
    <w:rsid w:val="0CD93263"/>
    <w:rsid w:val="0CFC267B"/>
    <w:rsid w:val="0D41549B"/>
    <w:rsid w:val="0DBD4932"/>
    <w:rsid w:val="0E311B78"/>
    <w:rsid w:val="0E415563"/>
    <w:rsid w:val="0E630F9A"/>
    <w:rsid w:val="0EA21836"/>
    <w:rsid w:val="0EAC5E44"/>
    <w:rsid w:val="0ED76908"/>
    <w:rsid w:val="0EDE56D9"/>
    <w:rsid w:val="0F4470B9"/>
    <w:rsid w:val="0F957915"/>
    <w:rsid w:val="0FB4703E"/>
    <w:rsid w:val="10003C60"/>
    <w:rsid w:val="102E6ABA"/>
    <w:rsid w:val="104650B3"/>
    <w:rsid w:val="10686DD7"/>
    <w:rsid w:val="107C6D27"/>
    <w:rsid w:val="109A64E2"/>
    <w:rsid w:val="10AB3168"/>
    <w:rsid w:val="10D33DA9"/>
    <w:rsid w:val="10E16B8A"/>
    <w:rsid w:val="11017E3D"/>
    <w:rsid w:val="117261B5"/>
    <w:rsid w:val="117E27F8"/>
    <w:rsid w:val="119836EC"/>
    <w:rsid w:val="12117753"/>
    <w:rsid w:val="12614426"/>
    <w:rsid w:val="12803C02"/>
    <w:rsid w:val="12B70391"/>
    <w:rsid w:val="12F41DBD"/>
    <w:rsid w:val="12FE7EC7"/>
    <w:rsid w:val="135523C8"/>
    <w:rsid w:val="13DC17B6"/>
    <w:rsid w:val="14357E46"/>
    <w:rsid w:val="143A2A9C"/>
    <w:rsid w:val="14A95C11"/>
    <w:rsid w:val="14EA1CE0"/>
    <w:rsid w:val="15051EFA"/>
    <w:rsid w:val="15075A95"/>
    <w:rsid w:val="15436065"/>
    <w:rsid w:val="15474F0A"/>
    <w:rsid w:val="155913E5"/>
    <w:rsid w:val="157F52EF"/>
    <w:rsid w:val="15863057"/>
    <w:rsid w:val="15D90F46"/>
    <w:rsid w:val="167A5AB7"/>
    <w:rsid w:val="17123F41"/>
    <w:rsid w:val="171E65FE"/>
    <w:rsid w:val="1727254F"/>
    <w:rsid w:val="17793FC0"/>
    <w:rsid w:val="17A4103D"/>
    <w:rsid w:val="17A74689"/>
    <w:rsid w:val="17BB1EE3"/>
    <w:rsid w:val="18014822"/>
    <w:rsid w:val="183D4CCB"/>
    <w:rsid w:val="186B609E"/>
    <w:rsid w:val="18C140E3"/>
    <w:rsid w:val="19766A09"/>
    <w:rsid w:val="197762DD"/>
    <w:rsid w:val="199C7AF2"/>
    <w:rsid w:val="19AB02DA"/>
    <w:rsid w:val="19CD5CC2"/>
    <w:rsid w:val="1A22266F"/>
    <w:rsid w:val="1A472154"/>
    <w:rsid w:val="1A686637"/>
    <w:rsid w:val="1B154000"/>
    <w:rsid w:val="1B222279"/>
    <w:rsid w:val="1B5033F6"/>
    <w:rsid w:val="1B7F1479"/>
    <w:rsid w:val="1B8627F4"/>
    <w:rsid w:val="1BCD5960"/>
    <w:rsid w:val="1C0A51E7"/>
    <w:rsid w:val="1CA46BA0"/>
    <w:rsid w:val="1CA67605"/>
    <w:rsid w:val="1CDD28FB"/>
    <w:rsid w:val="1CDE35EB"/>
    <w:rsid w:val="1D012A8E"/>
    <w:rsid w:val="1D276784"/>
    <w:rsid w:val="1D3544E5"/>
    <w:rsid w:val="1D5B1FD4"/>
    <w:rsid w:val="1D6152DA"/>
    <w:rsid w:val="1DC75A85"/>
    <w:rsid w:val="1DC92074"/>
    <w:rsid w:val="1E05210A"/>
    <w:rsid w:val="1E101535"/>
    <w:rsid w:val="1E183055"/>
    <w:rsid w:val="1E454BFC"/>
    <w:rsid w:val="1ED1023E"/>
    <w:rsid w:val="1EDA3596"/>
    <w:rsid w:val="1F9000F9"/>
    <w:rsid w:val="20140264"/>
    <w:rsid w:val="203171E6"/>
    <w:rsid w:val="208C266E"/>
    <w:rsid w:val="20983709"/>
    <w:rsid w:val="20C04A0E"/>
    <w:rsid w:val="20EF0E4F"/>
    <w:rsid w:val="20F621DE"/>
    <w:rsid w:val="20FA3A7C"/>
    <w:rsid w:val="20FF2A5F"/>
    <w:rsid w:val="21535882"/>
    <w:rsid w:val="21537630"/>
    <w:rsid w:val="218912A4"/>
    <w:rsid w:val="21975B37"/>
    <w:rsid w:val="221F09E4"/>
    <w:rsid w:val="2288155B"/>
    <w:rsid w:val="22EE0004"/>
    <w:rsid w:val="24066BDB"/>
    <w:rsid w:val="240776D3"/>
    <w:rsid w:val="242F305F"/>
    <w:rsid w:val="24881B7B"/>
    <w:rsid w:val="249C309C"/>
    <w:rsid w:val="24AE32A3"/>
    <w:rsid w:val="24EC5442"/>
    <w:rsid w:val="255A71DF"/>
    <w:rsid w:val="256F255E"/>
    <w:rsid w:val="25804B6B"/>
    <w:rsid w:val="25900E53"/>
    <w:rsid w:val="25922659"/>
    <w:rsid w:val="25D95AFA"/>
    <w:rsid w:val="25ED1BC8"/>
    <w:rsid w:val="263A0DBE"/>
    <w:rsid w:val="26747E2C"/>
    <w:rsid w:val="27A91D58"/>
    <w:rsid w:val="282C4737"/>
    <w:rsid w:val="28EA3771"/>
    <w:rsid w:val="29244CA4"/>
    <w:rsid w:val="296642D8"/>
    <w:rsid w:val="29883BEF"/>
    <w:rsid w:val="298A7967"/>
    <w:rsid w:val="298F1421"/>
    <w:rsid w:val="2A720B27"/>
    <w:rsid w:val="2AC1560A"/>
    <w:rsid w:val="2B753F3E"/>
    <w:rsid w:val="2B8A093F"/>
    <w:rsid w:val="2C673F8F"/>
    <w:rsid w:val="2C873A9B"/>
    <w:rsid w:val="2C9034E6"/>
    <w:rsid w:val="2CBA0563"/>
    <w:rsid w:val="2DA67D75"/>
    <w:rsid w:val="2DB651CE"/>
    <w:rsid w:val="2DF53C25"/>
    <w:rsid w:val="2E296A4A"/>
    <w:rsid w:val="2E4268E3"/>
    <w:rsid w:val="2E5C248A"/>
    <w:rsid w:val="2F4B1946"/>
    <w:rsid w:val="2F644883"/>
    <w:rsid w:val="3005243D"/>
    <w:rsid w:val="307772EC"/>
    <w:rsid w:val="30E67C44"/>
    <w:rsid w:val="314805C3"/>
    <w:rsid w:val="316A69FC"/>
    <w:rsid w:val="317D77A0"/>
    <w:rsid w:val="31AA504A"/>
    <w:rsid w:val="32385D9A"/>
    <w:rsid w:val="32403AF1"/>
    <w:rsid w:val="325D54C9"/>
    <w:rsid w:val="32625925"/>
    <w:rsid w:val="32B52920"/>
    <w:rsid w:val="32E93950"/>
    <w:rsid w:val="32EF1770"/>
    <w:rsid w:val="33462B51"/>
    <w:rsid w:val="33863895"/>
    <w:rsid w:val="33957634"/>
    <w:rsid w:val="340A5A6B"/>
    <w:rsid w:val="341B222F"/>
    <w:rsid w:val="34367069"/>
    <w:rsid w:val="343E1A7A"/>
    <w:rsid w:val="34641008"/>
    <w:rsid w:val="347831DE"/>
    <w:rsid w:val="34797724"/>
    <w:rsid w:val="348E0C01"/>
    <w:rsid w:val="35F336E3"/>
    <w:rsid w:val="36070CBD"/>
    <w:rsid w:val="360C16FF"/>
    <w:rsid w:val="363E0457"/>
    <w:rsid w:val="367E6AA5"/>
    <w:rsid w:val="36851BE2"/>
    <w:rsid w:val="37426BA0"/>
    <w:rsid w:val="378679C0"/>
    <w:rsid w:val="37A60062"/>
    <w:rsid w:val="37CA01F4"/>
    <w:rsid w:val="37DB3371"/>
    <w:rsid w:val="38855EC9"/>
    <w:rsid w:val="38864D4B"/>
    <w:rsid w:val="38D64977"/>
    <w:rsid w:val="38EE1CC0"/>
    <w:rsid w:val="391D07F7"/>
    <w:rsid w:val="39237490"/>
    <w:rsid w:val="395B31E9"/>
    <w:rsid w:val="399052F8"/>
    <w:rsid w:val="39D92AA9"/>
    <w:rsid w:val="39E241DA"/>
    <w:rsid w:val="3A414072"/>
    <w:rsid w:val="3AD969A0"/>
    <w:rsid w:val="3AF75A49"/>
    <w:rsid w:val="3B0727D1"/>
    <w:rsid w:val="3B163750"/>
    <w:rsid w:val="3B726358"/>
    <w:rsid w:val="3B8C57C0"/>
    <w:rsid w:val="3B976272"/>
    <w:rsid w:val="3C526A0A"/>
    <w:rsid w:val="3C9E1C4F"/>
    <w:rsid w:val="3CAA05F4"/>
    <w:rsid w:val="3CCA15AD"/>
    <w:rsid w:val="3D211F38"/>
    <w:rsid w:val="3D441770"/>
    <w:rsid w:val="3D6469F5"/>
    <w:rsid w:val="3D913562"/>
    <w:rsid w:val="3DA37BAD"/>
    <w:rsid w:val="3DD0408A"/>
    <w:rsid w:val="3DD1395F"/>
    <w:rsid w:val="3E0A61C2"/>
    <w:rsid w:val="3E912615"/>
    <w:rsid w:val="3F6251B6"/>
    <w:rsid w:val="3FE07E89"/>
    <w:rsid w:val="40180808"/>
    <w:rsid w:val="407A1061"/>
    <w:rsid w:val="40FA7041"/>
    <w:rsid w:val="419F0621"/>
    <w:rsid w:val="41D5790D"/>
    <w:rsid w:val="422035D4"/>
    <w:rsid w:val="429C453B"/>
    <w:rsid w:val="431A1904"/>
    <w:rsid w:val="435A3F8F"/>
    <w:rsid w:val="439A35C1"/>
    <w:rsid w:val="44147E9F"/>
    <w:rsid w:val="441E71D2"/>
    <w:rsid w:val="44250560"/>
    <w:rsid w:val="44352E99"/>
    <w:rsid w:val="44B87626"/>
    <w:rsid w:val="44BD176A"/>
    <w:rsid w:val="44FC39B7"/>
    <w:rsid w:val="45107462"/>
    <w:rsid w:val="45266C21"/>
    <w:rsid w:val="453A3F35"/>
    <w:rsid w:val="454F7F8B"/>
    <w:rsid w:val="45E675F1"/>
    <w:rsid w:val="46503FBA"/>
    <w:rsid w:val="46D63D94"/>
    <w:rsid w:val="47255E82"/>
    <w:rsid w:val="473016F6"/>
    <w:rsid w:val="477F15A5"/>
    <w:rsid w:val="478C7274"/>
    <w:rsid w:val="47B916EB"/>
    <w:rsid w:val="47C835C9"/>
    <w:rsid w:val="47E145F7"/>
    <w:rsid w:val="4856705C"/>
    <w:rsid w:val="486755EB"/>
    <w:rsid w:val="48684EBF"/>
    <w:rsid w:val="489B7043"/>
    <w:rsid w:val="48A405ED"/>
    <w:rsid w:val="4904108C"/>
    <w:rsid w:val="490A70C1"/>
    <w:rsid w:val="49107A31"/>
    <w:rsid w:val="49961FD3"/>
    <w:rsid w:val="49A07007"/>
    <w:rsid w:val="49C56A6D"/>
    <w:rsid w:val="49C97919"/>
    <w:rsid w:val="4A3354A7"/>
    <w:rsid w:val="4A3F7B49"/>
    <w:rsid w:val="4AA64361"/>
    <w:rsid w:val="4B105086"/>
    <w:rsid w:val="4B2C0426"/>
    <w:rsid w:val="4B971D44"/>
    <w:rsid w:val="4C121D12"/>
    <w:rsid w:val="4C1E2FA9"/>
    <w:rsid w:val="4C341C88"/>
    <w:rsid w:val="4C895BB7"/>
    <w:rsid w:val="4C966C03"/>
    <w:rsid w:val="4CB85C4E"/>
    <w:rsid w:val="4D302450"/>
    <w:rsid w:val="4D4E63F8"/>
    <w:rsid w:val="4DC75BB3"/>
    <w:rsid w:val="4E31544E"/>
    <w:rsid w:val="4E7E1C1B"/>
    <w:rsid w:val="4EE03A01"/>
    <w:rsid w:val="4F14502C"/>
    <w:rsid w:val="4F5706B7"/>
    <w:rsid w:val="501146C1"/>
    <w:rsid w:val="50252009"/>
    <w:rsid w:val="505D51FE"/>
    <w:rsid w:val="50BC7085"/>
    <w:rsid w:val="510D2A73"/>
    <w:rsid w:val="5119769F"/>
    <w:rsid w:val="51615767"/>
    <w:rsid w:val="51A9132E"/>
    <w:rsid w:val="51D535C6"/>
    <w:rsid w:val="51EC64F7"/>
    <w:rsid w:val="520420FD"/>
    <w:rsid w:val="52B94C95"/>
    <w:rsid w:val="52DB2ED7"/>
    <w:rsid w:val="52E27FA4"/>
    <w:rsid w:val="53A308F4"/>
    <w:rsid w:val="546E1CBA"/>
    <w:rsid w:val="546E385E"/>
    <w:rsid w:val="54B32E0C"/>
    <w:rsid w:val="54F226E1"/>
    <w:rsid w:val="54FC70BB"/>
    <w:rsid w:val="550941EC"/>
    <w:rsid w:val="550B72FE"/>
    <w:rsid w:val="55207DCA"/>
    <w:rsid w:val="55777F70"/>
    <w:rsid w:val="558C043F"/>
    <w:rsid w:val="55E40C09"/>
    <w:rsid w:val="562D376B"/>
    <w:rsid w:val="565507AA"/>
    <w:rsid w:val="56561BF8"/>
    <w:rsid w:val="570877D5"/>
    <w:rsid w:val="57256D9D"/>
    <w:rsid w:val="57B43C7D"/>
    <w:rsid w:val="580249E9"/>
    <w:rsid w:val="580552EE"/>
    <w:rsid w:val="58BB6616"/>
    <w:rsid w:val="58DC7930"/>
    <w:rsid w:val="591C1ADA"/>
    <w:rsid w:val="591F30B3"/>
    <w:rsid w:val="599B6EA3"/>
    <w:rsid w:val="59AD6BD6"/>
    <w:rsid w:val="59F20A8D"/>
    <w:rsid w:val="5A252C10"/>
    <w:rsid w:val="5ACC7530"/>
    <w:rsid w:val="5AF2779E"/>
    <w:rsid w:val="5AF967E6"/>
    <w:rsid w:val="5B191697"/>
    <w:rsid w:val="5B3B333C"/>
    <w:rsid w:val="5B3F7FC6"/>
    <w:rsid w:val="5B4F49FA"/>
    <w:rsid w:val="5B746A3E"/>
    <w:rsid w:val="5BB054F9"/>
    <w:rsid w:val="5BF1724E"/>
    <w:rsid w:val="5C0051AD"/>
    <w:rsid w:val="5C2313D1"/>
    <w:rsid w:val="5C3E620B"/>
    <w:rsid w:val="5C6F674F"/>
    <w:rsid w:val="5C7165E1"/>
    <w:rsid w:val="5D5E4DB7"/>
    <w:rsid w:val="5DAA61EB"/>
    <w:rsid w:val="5DF23751"/>
    <w:rsid w:val="5E951E89"/>
    <w:rsid w:val="5EA06D09"/>
    <w:rsid w:val="5EA93C63"/>
    <w:rsid w:val="5ED74E21"/>
    <w:rsid w:val="5EEA2EAA"/>
    <w:rsid w:val="5F13572D"/>
    <w:rsid w:val="5F1863C2"/>
    <w:rsid w:val="5F7D704B"/>
    <w:rsid w:val="60C6259B"/>
    <w:rsid w:val="60D460AF"/>
    <w:rsid w:val="60E51155"/>
    <w:rsid w:val="60EB5A2B"/>
    <w:rsid w:val="60EE7787"/>
    <w:rsid w:val="615D0EE2"/>
    <w:rsid w:val="61D22CD3"/>
    <w:rsid w:val="61EB36BE"/>
    <w:rsid w:val="623954AB"/>
    <w:rsid w:val="627B4304"/>
    <w:rsid w:val="62A36DC8"/>
    <w:rsid w:val="62B111E4"/>
    <w:rsid w:val="62FD297C"/>
    <w:rsid w:val="63033105"/>
    <w:rsid w:val="631101D6"/>
    <w:rsid w:val="632048BD"/>
    <w:rsid w:val="634E4F86"/>
    <w:rsid w:val="63A33CDA"/>
    <w:rsid w:val="63F27C99"/>
    <w:rsid w:val="641F6922"/>
    <w:rsid w:val="64EC4A56"/>
    <w:rsid w:val="65956E9C"/>
    <w:rsid w:val="65AA4DDA"/>
    <w:rsid w:val="65C71020"/>
    <w:rsid w:val="65DA4243"/>
    <w:rsid w:val="664D7777"/>
    <w:rsid w:val="665A1E94"/>
    <w:rsid w:val="665E1753"/>
    <w:rsid w:val="66E815AD"/>
    <w:rsid w:val="66EA5766"/>
    <w:rsid w:val="67254250"/>
    <w:rsid w:val="675D60DF"/>
    <w:rsid w:val="68DA4848"/>
    <w:rsid w:val="6943596A"/>
    <w:rsid w:val="697B5EDD"/>
    <w:rsid w:val="69F640E4"/>
    <w:rsid w:val="6A164E44"/>
    <w:rsid w:val="6AB0386C"/>
    <w:rsid w:val="6AEA03D8"/>
    <w:rsid w:val="6B0C4E5D"/>
    <w:rsid w:val="6B301415"/>
    <w:rsid w:val="6B574BF4"/>
    <w:rsid w:val="6B934AB7"/>
    <w:rsid w:val="6B9A7830"/>
    <w:rsid w:val="6BB32772"/>
    <w:rsid w:val="6BFB3418"/>
    <w:rsid w:val="6C494E84"/>
    <w:rsid w:val="6D131E03"/>
    <w:rsid w:val="6D39029B"/>
    <w:rsid w:val="6DAA3701"/>
    <w:rsid w:val="6DFC6B7F"/>
    <w:rsid w:val="6E4171AF"/>
    <w:rsid w:val="6EA71190"/>
    <w:rsid w:val="6EBF4F8A"/>
    <w:rsid w:val="6F3239AE"/>
    <w:rsid w:val="6F3E58C9"/>
    <w:rsid w:val="6F6F2B26"/>
    <w:rsid w:val="6FBB1465"/>
    <w:rsid w:val="6FCA1FE7"/>
    <w:rsid w:val="702E0619"/>
    <w:rsid w:val="703B7758"/>
    <w:rsid w:val="709F77C5"/>
    <w:rsid w:val="70F965B7"/>
    <w:rsid w:val="711E7810"/>
    <w:rsid w:val="717402AD"/>
    <w:rsid w:val="71B148FF"/>
    <w:rsid w:val="71ED63F8"/>
    <w:rsid w:val="71FE1F10"/>
    <w:rsid w:val="721C436A"/>
    <w:rsid w:val="72536115"/>
    <w:rsid w:val="728267F0"/>
    <w:rsid w:val="728F1117"/>
    <w:rsid w:val="729C3F60"/>
    <w:rsid w:val="72C3475F"/>
    <w:rsid w:val="742A5D78"/>
    <w:rsid w:val="74874C98"/>
    <w:rsid w:val="74CB28DA"/>
    <w:rsid w:val="74D774D1"/>
    <w:rsid w:val="75287D2D"/>
    <w:rsid w:val="753D2178"/>
    <w:rsid w:val="758306B8"/>
    <w:rsid w:val="75C1363E"/>
    <w:rsid w:val="75F75951"/>
    <w:rsid w:val="760342F6"/>
    <w:rsid w:val="765A5452"/>
    <w:rsid w:val="766C59F7"/>
    <w:rsid w:val="776F3827"/>
    <w:rsid w:val="779260BA"/>
    <w:rsid w:val="781A4548"/>
    <w:rsid w:val="786170B2"/>
    <w:rsid w:val="787119EB"/>
    <w:rsid w:val="78E63AA3"/>
    <w:rsid w:val="79063058"/>
    <w:rsid w:val="791F0AF5"/>
    <w:rsid w:val="79222CE5"/>
    <w:rsid w:val="79A74F98"/>
    <w:rsid w:val="79B060D9"/>
    <w:rsid w:val="79CB1D14"/>
    <w:rsid w:val="79D35D8D"/>
    <w:rsid w:val="7A0138B5"/>
    <w:rsid w:val="7A721A4A"/>
    <w:rsid w:val="7AAB2866"/>
    <w:rsid w:val="7AB12572"/>
    <w:rsid w:val="7ACF52FA"/>
    <w:rsid w:val="7AF27D45"/>
    <w:rsid w:val="7B3B6ACB"/>
    <w:rsid w:val="7B670803"/>
    <w:rsid w:val="7B71585E"/>
    <w:rsid w:val="7B7470FC"/>
    <w:rsid w:val="7B7F481D"/>
    <w:rsid w:val="7BE70CAD"/>
    <w:rsid w:val="7C211032"/>
    <w:rsid w:val="7C6A5B2C"/>
    <w:rsid w:val="7D384885"/>
    <w:rsid w:val="7D7B29C4"/>
    <w:rsid w:val="7DBB54B6"/>
    <w:rsid w:val="7E0E55E6"/>
    <w:rsid w:val="7E186464"/>
    <w:rsid w:val="7E4B33AF"/>
    <w:rsid w:val="7EBB309C"/>
    <w:rsid w:val="7ED97EFB"/>
    <w:rsid w:val="7F126040"/>
    <w:rsid w:val="7F271055"/>
    <w:rsid w:val="7F4B6365"/>
    <w:rsid w:val="7F9D1317"/>
    <w:rsid w:val="7FA03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val="en-US" w:eastAsia="zh-CN" w:bidi="ar-SA"/>
    </w:rPr>
  </w:style>
  <w:style w:type="paragraph" w:styleId="3">
    <w:name w:val="heading 2"/>
    <w:basedOn w:val="1"/>
    <w:next w:val="1"/>
    <w:qFormat/>
    <w:uiPriority w:val="0"/>
    <w:pPr>
      <w:adjustRightInd w:val="0"/>
      <w:spacing w:before="280" w:line="300" w:lineRule="auto"/>
      <w:outlineLvl w:val="1"/>
    </w:pPr>
    <w:rPr>
      <w:rFonts w:ascii="Times New Roman" w:hAnsi="Times New Roman" w:eastAsia="黑体" w:cs="Times New Roman"/>
      <w:kern w:val="2"/>
      <w:sz w:val="30"/>
      <w:szCs w:val="32"/>
    </w:rPr>
  </w:style>
  <w:style w:type="paragraph" w:styleId="4">
    <w:name w:val="heading 3"/>
    <w:next w:val="1"/>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val="en-US" w:eastAsia="zh-CN" w:bidi="ar-SA"/>
    </w:rPr>
  </w:style>
  <w:style w:type="paragraph" w:styleId="5">
    <w:name w:val="heading 4"/>
    <w:next w:val="1"/>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val="en-US" w:eastAsia="zh-CN"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val="en-US" w:eastAsia="zh-CN"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val="en-US" w:eastAsia="zh-CN"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val="en-US" w:eastAsia="zh-CN"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val="en-US" w:eastAsia="zh-CN"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val="en-US" w:eastAsia="zh-CN" w:bidi="ar-SA"/>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adjustRightInd w:val="0"/>
      <w:spacing w:line="312" w:lineRule="atLeast"/>
      <w:ind w:firstLine="420"/>
      <w:textAlignment w:val="baseline"/>
    </w:pPr>
    <w:rPr>
      <w:szCs w:val="20"/>
    </w:rPr>
  </w:style>
  <w:style w:type="paragraph" w:styleId="12">
    <w:name w:val="annotation text"/>
    <w:basedOn w:val="1"/>
    <w:link w:val="37"/>
    <w:qFormat/>
    <w:uiPriority w:val="0"/>
    <w:pPr>
      <w:jc w:val="left"/>
      <w:pPrChange w:id="0" w:author="MadFrog" w:date="2026-04-16T23:39:00Z">
        <w:pPr>
          <w:widowControl w:val="0"/>
        </w:pPr>
      </w:pPrChange>
    </w:pPr>
    <w:rPr>
      <w:color w:val="EE0000"/>
      <w:rPrChange w:id="1" w:author="MadFrog" w:date="2026-04-16T23:39:00Z">
        <w:rPr>
          <w:rFonts w:asciiTheme="minorHAnsi" w:hAnsiTheme="minorHAnsi" w:eastAsiaTheme="minorEastAsia" w:cstheme="minorBidi"/>
          <w:sz w:val="21"/>
          <w:szCs w:val="22"/>
          <w:lang w:val="en-US" w:eastAsia="zh-CN" w:bidi="ar-SA"/>
        </w:rPr>
      </w:rPrChange>
    </w:rPr>
  </w:style>
  <w:style w:type="paragraph" w:styleId="13">
    <w:name w:val="Body Text"/>
    <w:qFormat/>
    <w:uiPriority w:val="0"/>
    <w:pPr>
      <w:widowControl w:val="0"/>
      <w:adjustRightInd w:val="0"/>
      <w:spacing w:before="100" w:after="100" w:line="300" w:lineRule="auto"/>
      <w:ind w:firstLine="1044" w:firstLineChars="200"/>
      <w:jc w:val="both"/>
    </w:pPr>
    <w:rPr>
      <w:rFonts w:ascii="Times New Roman" w:hAnsi="Times New Roman" w:eastAsia="宋体" w:cs="Times New Roman"/>
      <w:kern w:val="2"/>
      <w:sz w:val="24"/>
      <w:szCs w:val="24"/>
      <w:lang w:val="en-US" w:eastAsia="zh-CN" w:bidi="ar-SA"/>
    </w:rPr>
  </w:style>
  <w:style w:type="paragraph" w:styleId="14">
    <w:name w:val="Plain Text"/>
    <w:basedOn w:val="1"/>
    <w:qFormat/>
    <w:uiPriority w:val="0"/>
    <w:rPr>
      <w:rFonts w:ascii="宋体" w:hAnsi="Courier New" w:cs="Courier New"/>
      <w:szCs w:val="21"/>
    </w:rPr>
  </w:style>
  <w:style w:type="paragraph" w:styleId="15">
    <w:name w:val="Date"/>
    <w:basedOn w:val="1"/>
    <w:next w:val="1"/>
    <w:link w:val="36"/>
    <w:qFormat/>
    <w:uiPriority w:val="0"/>
    <w:pPr>
      <w:ind w:left="100" w:leftChars="2500"/>
    </w:p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Subtitle"/>
    <w:qFormat/>
    <w:uiPriority w:val="0"/>
    <w:pPr>
      <w:widowControl w:val="0"/>
      <w:adjustRightInd w:val="0"/>
      <w:spacing w:before="100" w:after="100"/>
      <w:jc w:val="center"/>
    </w:pPr>
    <w:rPr>
      <w:rFonts w:ascii="Times New Roman" w:hAnsi="Times New Roman" w:eastAsia="黑体" w:cs="Times New Roman"/>
      <w:kern w:val="28"/>
      <w:sz w:val="32"/>
      <w:szCs w:val="24"/>
      <w:lang w:val="en-US" w:eastAsia="zh-CN" w:bidi="ar-SA"/>
    </w:rPr>
  </w:style>
  <w:style w:type="paragraph" w:styleId="19">
    <w:name w:val="Title"/>
    <w:qFormat/>
    <w:uiPriority w:val="0"/>
    <w:pPr>
      <w:widowControl w:val="0"/>
      <w:adjustRightInd w:val="0"/>
      <w:spacing w:before="100" w:after="100"/>
      <w:jc w:val="center"/>
    </w:pPr>
    <w:rPr>
      <w:rFonts w:ascii="Times New Roman" w:hAnsi="Times New Roman" w:eastAsia="黑体" w:cs="Times New Roman"/>
      <w:kern w:val="2"/>
      <w:sz w:val="36"/>
      <w:szCs w:val="24"/>
      <w:lang w:val="en-US" w:eastAsia="zh-CN" w:bidi="ar-SA"/>
    </w:rPr>
  </w:style>
  <w:style w:type="paragraph" w:styleId="20">
    <w:name w:val="annotation subject"/>
    <w:basedOn w:val="12"/>
    <w:next w:val="12"/>
    <w:link w:val="38"/>
    <w:qFormat/>
    <w:uiPriority w:val="0"/>
    <w:rPr>
      <w:b/>
      <w:bCs/>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annotation reference"/>
    <w:basedOn w:val="23"/>
    <w:qFormat/>
    <w:uiPriority w:val="0"/>
    <w:rPr>
      <w:sz w:val="21"/>
      <w:szCs w:val="21"/>
    </w:rPr>
  </w:style>
  <w:style w:type="paragraph" w:customStyle="1" w:styleId="26">
    <w:name w:val="Table Text"/>
    <w:basedOn w:val="1"/>
    <w:semiHidden/>
    <w:qFormat/>
    <w:uiPriority w:val="0"/>
    <w:rPr>
      <w:rFonts w:ascii="宋体" w:hAnsi="宋体" w:eastAsia="宋体" w:cs="宋体"/>
      <w:sz w:val="18"/>
      <w:szCs w:val="18"/>
      <w:lang w:eastAsia="en-US"/>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Fließtext"/>
    <w:basedOn w:val="1"/>
    <w:qFormat/>
    <w:uiPriority w:val="99"/>
    <w:pPr>
      <w:overflowPunct w:val="0"/>
      <w:autoSpaceDE w:val="0"/>
      <w:autoSpaceDN w:val="0"/>
      <w:adjustRightInd w:val="0"/>
      <w:spacing w:line="560" w:lineRule="exact"/>
      <w:ind w:firstLine="420" w:firstLineChars="200"/>
    </w:pPr>
    <w:rPr>
      <w:kern w:val="28"/>
      <w:szCs w:val="20"/>
    </w:rPr>
  </w:style>
  <w:style w:type="character" w:customStyle="1" w:styleId="29">
    <w:name w:val="标题 2 字符"/>
    <w:qFormat/>
    <w:uiPriority w:val="0"/>
    <w:rPr>
      <w:rFonts w:ascii="Arial" w:hAnsi="Arial" w:eastAsia="黑体"/>
      <w:bCs/>
      <w:sz w:val="32"/>
      <w:szCs w:val="32"/>
    </w:rPr>
  </w:style>
  <w:style w:type="character" w:customStyle="1" w:styleId="30">
    <w:name w:val="font31"/>
    <w:basedOn w:val="23"/>
    <w:qFormat/>
    <w:uiPriority w:val="0"/>
    <w:rPr>
      <w:rFonts w:hint="eastAsia" w:ascii="仿宋" w:hAnsi="仿宋" w:eastAsia="仿宋" w:cs="仿宋"/>
      <w:color w:val="000000"/>
      <w:sz w:val="22"/>
      <w:szCs w:val="22"/>
      <w:u w:val="none"/>
    </w:rPr>
  </w:style>
  <w:style w:type="character" w:customStyle="1" w:styleId="31">
    <w:name w:val="font41"/>
    <w:basedOn w:val="23"/>
    <w:qFormat/>
    <w:uiPriority w:val="0"/>
    <w:rPr>
      <w:rFonts w:ascii="Arial" w:hAnsi="Arial" w:cs="Arial"/>
      <w:color w:val="000000"/>
      <w:sz w:val="22"/>
      <w:szCs w:val="22"/>
      <w:u w:val="none"/>
    </w:rPr>
  </w:style>
  <w:style w:type="paragraph" w:customStyle="1" w:styleId="32">
    <w:name w:val="_Style 1"/>
    <w:basedOn w:val="1"/>
    <w:qFormat/>
    <w:uiPriority w:val="0"/>
    <w:pPr>
      <w:widowControl/>
      <w:spacing w:after="200"/>
      <w:ind w:firstLine="420"/>
      <w:jc w:val="left"/>
    </w:pPr>
    <w:rPr>
      <w:rFonts w:ascii="Tahoma" w:hAnsi="Tahoma" w:eastAsia="微软雅黑" w:cs="Times New Roman"/>
      <w:sz w:val="22"/>
    </w:rPr>
  </w:style>
  <w:style w:type="paragraph" w:styleId="33">
    <w:name w:val="List Paragraph"/>
    <w:basedOn w:val="1"/>
    <w:qFormat/>
    <w:uiPriority w:val="34"/>
  </w:style>
  <w:style w:type="paragraph" w:customStyle="1" w:styleId="34">
    <w:name w:val="修订1"/>
    <w:hidden/>
    <w:unhideWhenUsed/>
    <w:qFormat/>
    <w:uiPriority w:val="99"/>
    <w:rPr>
      <w:rFonts w:asciiTheme="minorHAnsi" w:hAnsiTheme="minorHAnsi" w:eastAsiaTheme="minorEastAsia" w:cstheme="minorBidi"/>
      <w:sz w:val="21"/>
      <w:szCs w:val="22"/>
      <w:lang w:val="en-US" w:eastAsia="zh-CN" w:bidi="ar-SA"/>
    </w:rPr>
  </w:style>
  <w:style w:type="paragraph" w:customStyle="1" w:styleId="35">
    <w:name w:val="修订2"/>
    <w:hidden/>
    <w:unhideWhenUsed/>
    <w:qFormat/>
    <w:uiPriority w:val="99"/>
    <w:rPr>
      <w:rFonts w:asciiTheme="minorHAnsi" w:hAnsiTheme="minorHAnsi" w:eastAsiaTheme="minorEastAsia" w:cstheme="minorBidi"/>
      <w:sz w:val="21"/>
      <w:szCs w:val="22"/>
      <w:lang w:val="en-US" w:eastAsia="zh-CN" w:bidi="ar-SA"/>
    </w:rPr>
  </w:style>
  <w:style w:type="character" w:customStyle="1" w:styleId="36">
    <w:name w:val="日期 字符"/>
    <w:basedOn w:val="23"/>
    <w:link w:val="15"/>
    <w:qFormat/>
    <w:uiPriority w:val="0"/>
    <w:rPr>
      <w:rFonts w:asciiTheme="minorHAnsi" w:hAnsiTheme="minorHAnsi" w:eastAsiaTheme="minorEastAsia" w:cstheme="minorBidi"/>
      <w:sz w:val="21"/>
      <w:szCs w:val="22"/>
    </w:rPr>
  </w:style>
  <w:style w:type="character" w:customStyle="1" w:styleId="37">
    <w:name w:val="批注文字 字符"/>
    <w:basedOn w:val="23"/>
    <w:link w:val="12"/>
    <w:qFormat/>
    <w:uiPriority w:val="0"/>
    <w:rPr>
      <w:rFonts w:asciiTheme="minorHAnsi" w:hAnsiTheme="minorHAnsi" w:eastAsiaTheme="minorEastAsia" w:cstheme="minorBidi"/>
      <w:color w:val="EE0000"/>
      <w:sz w:val="21"/>
      <w:szCs w:val="22"/>
    </w:rPr>
  </w:style>
  <w:style w:type="character" w:customStyle="1" w:styleId="38">
    <w:name w:val="批注主题 字符"/>
    <w:basedOn w:val="37"/>
    <w:link w:val="20"/>
    <w:qFormat/>
    <w:uiPriority w:val="0"/>
    <w:rPr>
      <w:rFonts w:asciiTheme="minorHAnsi" w:hAnsiTheme="minorHAnsi" w:eastAsiaTheme="minorEastAsia" w:cstheme="minorBidi"/>
      <w:b/>
      <w:bCs/>
      <w:color w:val="EE0000"/>
      <w:sz w:val="21"/>
      <w:szCs w:val="22"/>
    </w:rPr>
  </w:style>
  <w:style w:type="paragraph" w:customStyle="1" w:styleId="39">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宋体"/>
      <w:sz w:val="24"/>
      <w:szCs w:val="24"/>
      <w:lang w:val="en-US" w:eastAsia="zh-CN" w:bidi="ar-SA"/>
    </w:rPr>
  </w:style>
  <w:style w:type="paragraph" w:customStyle="1" w:styleId="40">
    <w:name w:val="修订3"/>
    <w:hidden/>
    <w:unhideWhenUsed/>
    <w:qFormat/>
    <w:uiPriority w:val="99"/>
    <w:rPr>
      <w:rFonts w:asciiTheme="minorHAnsi" w:hAnsiTheme="minorHAnsi" w:eastAsiaTheme="minorEastAsia" w:cstheme="minorBidi"/>
      <w:sz w:val="21"/>
      <w:szCs w:val="22"/>
      <w:lang w:val="en-US" w:eastAsia="zh-CN" w:bidi="ar-SA"/>
    </w:rPr>
  </w:style>
  <w:style w:type="paragraph" w:customStyle="1" w:styleId="41">
    <w:name w:val="修订4"/>
    <w:hidden/>
    <w:unhideWhenUsed/>
    <w:qFormat/>
    <w:uiPriority w:val="99"/>
    <w:rPr>
      <w:rFonts w:asciiTheme="minorHAnsi" w:hAnsiTheme="minorHAnsi" w:eastAsiaTheme="minorEastAsia" w:cstheme="minorBidi"/>
      <w:sz w:val="21"/>
      <w:szCs w:val="22"/>
      <w:lang w:val="en-US" w:eastAsia="zh-CN" w:bidi="ar-SA"/>
    </w:rPr>
  </w:style>
  <w:style w:type="paragraph" w:customStyle="1" w:styleId="42">
    <w:name w:val="修订5"/>
    <w:hidden/>
    <w:unhideWhenUsed/>
    <w:qFormat/>
    <w:uiPriority w:val="99"/>
    <w:rPr>
      <w:rFonts w:asciiTheme="minorHAnsi" w:hAnsiTheme="minorHAnsi" w:eastAsiaTheme="minorEastAsia" w:cstheme="minorBidi"/>
      <w:sz w:val="21"/>
      <w:szCs w:val="22"/>
      <w:lang w:val="en-US" w:eastAsia="zh-CN" w:bidi="ar-SA"/>
    </w:rPr>
  </w:style>
  <w:style w:type="paragraph" w:customStyle="1" w:styleId="43">
    <w:name w:val="附录标题"/>
    <w:next w:val="1"/>
    <w:qFormat/>
    <w:uiPriority w:val="0"/>
    <w:pPr>
      <w:widowControl w:val="0"/>
      <w:adjustRightInd w:val="0"/>
      <w:spacing w:before="100" w:after="100" w:line="360" w:lineRule="auto"/>
      <w:jc w:val="both"/>
      <w:outlineLvl w:val="0"/>
    </w:pPr>
    <w:rPr>
      <w:rFonts w:ascii="Times New Roman" w:hAnsi="Times New Roman" w:eastAsia="黑体" w:cs="Times New Roman"/>
      <w:color w:val="000000"/>
      <w:kern w:val="44"/>
      <w:sz w:val="36"/>
      <w:szCs w:val="44"/>
      <w:lang w:val="en-US" w:eastAsia="zh-CN" w:bidi="ar-SA"/>
    </w:rPr>
  </w:style>
  <w:style w:type="paragraph" w:customStyle="1" w:styleId="44">
    <w:name w:val="章标题"/>
    <w:next w:val="1"/>
    <w:qFormat/>
    <w:uiPriority w:val="0"/>
    <w:pPr>
      <w:widowControl w:val="0"/>
      <w:adjustRightInd w:val="0"/>
      <w:spacing w:before="100" w:after="100" w:line="360" w:lineRule="auto"/>
      <w:jc w:val="center"/>
      <w:outlineLvl w:val="0"/>
    </w:pPr>
    <w:rPr>
      <w:rFonts w:ascii="Times New Roman" w:hAnsi="Times New Roman" w:eastAsia="黑体" w:cs="Times New Roman"/>
      <w:kern w:val="44"/>
      <w:sz w:val="36"/>
      <w:szCs w:val="44"/>
      <w:lang w:val="en-US" w:eastAsia="zh-CN" w:bidi="ar-SA"/>
    </w:rPr>
  </w:style>
  <w:style w:type="paragraph" w:customStyle="1" w:styleId="45">
    <w:name w:val="Revision"/>
    <w:hidden/>
    <w:unhideWhenUsed/>
    <w:qFormat/>
    <w:uiPriority w:val="99"/>
    <w:rPr>
      <w:rFonts w:asciiTheme="minorHAnsi" w:hAnsiTheme="minorHAnsi" w:eastAsiaTheme="minorEastAsia" w:cstheme="minorBidi"/>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4899</Words>
  <Characters>5132</Characters>
  <Lines>320</Lines>
  <Paragraphs>323</Paragraphs>
  <TotalTime>6</TotalTime>
  <ScaleCrop>false</ScaleCrop>
  <LinksUpToDate>false</LinksUpToDate>
  <CharactersWithSpaces>5496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2026-07-15T10:08:00Z</dcterms:created>
  <dc:creator>BPC-pc</dc:creator>
  <cp:lastModifiedBy>湖北鄂安屠改清竹沥13419694479</cp:lastModifiedBy>
  <cp:lastPrinted>2026-07-02T23:51:00Z</cp:lastPrinted>
  <dcterms:modified xsi:type="dcterms:W3CDTF">2026-07-29T01:18:04Z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F6C1EA89BCAA4909B392EF0B49D8CED0_13</vt:lpwstr>
  </property>
  <property fmtid="{D5CDD505-2E9C-101B-9397-08002B2CF9AE}" pid="4" name="KSOTemplateDocerSaveRecord">
    <vt:lpwstr>eyJoZGlkIjoiZTM5NWQ4NjQ5MGY1NjQ3ZWFiNTBhNjg3ZjNmYjRmOGQiLCJ1c2VySWQiOiIxNzA1MjQ0Njk1In0=</vt:lpwstr>
  </property>
</Properties>
</file>